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BF" w:rsidRDefault="007F79BB">
      <w:pPr>
        <w:jc w:val="center"/>
        <w:rPr>
          <w:b/>
        </w:rPr>
      </w:pPr>
      <w:bookmarkStart w:id="0" w:name="_GoBack"/>
      <w:bookmarkEnd w:id="0"/>
      <w:r>
        <w:rPr>
          <w:b/>
        </w:rPr>
        <w:t>NOTĂ DE FUNDAMENTARE</w:t>
      </w:r>
    </w:p>
    <w:p w:rsidR="000C57BF" w:rsidRDefault="000C57BF">
      <w:pPr>
        <w:rPr>
          <w:b/>
          <w:bCs/>
          <w:iCs/>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440"/>
        <w:gridCol w:w="196"/>
        <w:gridCol w:w="10"/>
        <w:gridCol w:w="559"/>
        <w:gridCol w:w="313"/>
        <w:gridCol w:w="908"/>
        <w:gridCol w:w="1024"/>
        <w:gridCol w:w="1023"/>
        <w:gridCol w:w="1050"/>
        <w:gridCol w:w="1122"/>
      </w:tblGrid>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
                <w:bCs/>
                <w:i/>
                <w:iCs/>
                <w:sz w:val="22"/>
                <w:szCs w:val="22"/>
              </w:rPr>
            </w:pPr>
            <w:r>
              <w:rPr>
                <w:b/>
                <w:bCs/>
                <w:i/>
                <w:iCs/>
                <w:sz w:val="22"/>
                <w:szCs w:val="22"/>
              </w:rPr>
              <w:t>Secţiunea 1</w:t>
            </w:r>
          </w:p>
          <w:p w:rsidR="000C57BF" w:rsidRDefault="007F79BB">
            <w:pPr>
              <w:jc w:val="center"/>
              <w:rPr>
                <w:b/>
                <w:bCs/>
                <w:i/>
                <w:iCs/>
                <w:sz w:val="22"/>
                <w:szCs w:val="22"/>
              </w:rPr>
            </w:pPr>
            <w:r>
              <w:rPr>
                <w:b/>
                <w:bCs/>
                <w:i/>
                <w:iCs/>
                <w:sz w:val="22"/>
                <w:szCs w:val="22"/>
              </w:rPr>
              <w:t>Titlul proiectului de act normativ</w:t>
            </w:r>
          </w:p>
          <w:p w:rsidR="000C57BF" w:rsidRDefault="000C57BF">
            <w:pPr>
              <w:jc w:val="center"/>
              <w:rPr>
                <w:sz w:val="22"/>
                <w:szCs w:val="22"/>
              </w:rPr>
            </w:pPr>
          </w:p>
          <w:p w:rsidR="000C57BF" w:rsidRDefault="007F79BB">
            <w:pPr>
              <w:jc w:val="center"/>
              <w:rPr>
                <w:rFonts w:eastAsia="Calibri"/>
                <w:sz w:val="22"/>
                <w:szCs w:val="22"/>
              </w:rPr>
            </w:pPr>
            <w:r>
              <w:rPr>
                <w:rFonts w:eastAsia="Calibri"/>
                <w:sz w:val="22"/>
                <w:szCs w:val="22"/>
              </w:rPr>
              <w:t>Ordonanță de urgenţă</w:t>
            </w:r>
          </w:p>
          <w:p w:rsidR="000C57BF" w:rsidRDefault="000C57BF">
            <w:pPr>
              <w:jc w:val="center"/>
              <w:rPr>
                <w:bCs/>
                <w:iCs/>
                <w:sz w:val="22"/>
                <w:szCs w:val="22"/>
              </w:rPr>
            </w:pPr>
          </w:p>
          <w:p w:rsidR="000C57BF" w:rsidRDefault="007F79BB">
            <w:pPr>
              <w:jc w:val="center"/>
              <w:textAlignment w:val="baseline"/>
              <w:rPr>
                <w:bCs/>
                <w:sz w:val="22"/>
                <w:szCs w:val="22"/>
              </w:rPr>
            </w:pPr>
            <w:r>
              <w:rPr>
                <w:bCs/>
                <w:iCs/>
                <w:sz w:val="22"/>
                <w:szCs w:val="22"/>
              </w:rPr>
              <w:t xml:space="preserve">pentru suspendarea aplicării unor dispoziţii și prelungirea unui termen prevăzut de Ordonanţa de urgenţă a Guvernului nr. 28/1999 privind obligaţia operatorilor economici de a utiliza aparate de marcat electronice fiscale, </w:t>
            </w:r>
            <w:r>
              <w:rPr>
                <w:bCs/>
                <w:sz w:val="22"/>
                <w:szCs w:val="22"/>
              </w:rPr>
              <w:t>precum și pentru modificarea şi c</w:t>
            </w:r>
            <w:r>
              <w:rPr>
                <w:bCs/>
                <w:sz w:val="22"/>
                <w:szCs w:val="22"/>
              </w:rPr>
              <w:t>ompletarea Ordonanţei de urgenţă a Guvernului nr. 64/2007 privind datoria publică</w:t>
            </w: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t>Secţiunea a 2-a</w:t>
            </w:r>
          </w:p>
          <w:p w:rsidR="000C57BF" w:rsidRDefault="007F79BB">
            <w:pPr>
              <w:jc w:val="center"/>
              <w:rPr>
                <w:b/>
                <w:bCs/>
                <w:i/>
                <w:iCs/>
                <w:sz w:val="22"/>
                <w:szCs w:val="22"/>
              </w:rPr>
            </w:pPr>
            <w:r>
              <w:rPr>
                <w:b/>
                <w:bCs/>
                <w:i/>
                <w:iCs/>
                <w:sz w:val="22"/>
                <w:szCs w:val="22"/>
              </w:rPr>
              <w:t>Motivul emiterii actului normativ</w:t>
            </w:r>
          </w:p>
          <w:p w:rsidR="000C57BF" w:rsidRDefault="000C57BF">
            <w:pPr>
              <w:jc w:val="both"/>
              <w:rPr>
                <w:bCs/>
                <w:iCs/>
                <w:sz w:val="22"/>
                <w:szCs w:val="22"/>
              </w:rPr>
            </w:pPr>
          </w:p>
          <w:p w:rsidR="000C57BF" w:rsidRDefault="007F79BB">
            <w:pPr>
              <w:jc w:val="both"/>
              <w:rPr>
                <w:bCs/>
                <w:iCs/>
                <w:sz w:val="22"/>
                <w:szCs w:val="22"/>
              </w:rPr>
            </w:pPr>
            <w:r>
              <w:rPr>
                <w:bCs/>
                <w:iCs/>
                <w:sz w:val="22"/>
                <w:szCs w:val="22"/>
              </w:rPr>
              <w:t>Promovarea acestui act normativ este determinată în principal de:</w:t>
            </w:r>
          </w:p>
          <w:p w:rsidR="000C57BF" w:rsidRDefault="000C57BF">
            <w:pPr>
              <w:jc w:val="both"/>
              <w:rPr>
                <w:bCs/>
                <w:iCs/>
                <w:sz w:val="22"/>
                <w:szCs w:val="22"/>
              </w:rPr>
            </w:pPr>
          </w:p>
          <w:p w:rsidR="000C57BF" w:rsidRDefault="007F79BB">
            <w:pPr>
              <w:pStyle w:val="ListParagraph"/>
              <w:numPr>
                <w:ilvl w:val="0"/>
                <w:numId w:val="7"/>
              </w:numPr>
              <w:jc w:val="both"/>
              <w:rPr>
                <w:bCs/>
                <w:iCs/>
                <w:sz w:val="22"/>
                <w:szCs w:val="22"/>
              </w:rPr>
            </w:pPr>
            <w:r>
              <w:rPr>
                <w:bCs/>
                <w:iCs/>
                <w:sz w:val="22"/>
                <w:szCs w:val="22"/>
              </w:rPr>
              <w:t>întârzierile producătorilor și distribuitorilor în pregătirea prototipurilor de aparate de marcat electronice fiscale cu jurnal electronic și implicit de întârzierile în depunerea acestora împreună cu documentația aferentă pentru avizare tehnică la Institu</w:t>
            </w:r>
            <w:r>
              <w:rPr>
                <w:bCs/>
                <w:iCs/>
                <w:sz w:val="22"/>
                <w:szCs w:val="22"/>
              </w:rPr>
              <w:t xml:space="preserve">tul Național de Cercetare Dezvoltare în Informatică, </w:t>
            </w:r>
          </w:p>
          <w:p w:rsidR="000C57BF" w:rsidRDefault="007F79BB">
            <w:pPr>
              <w:pStyle w:val="ListParagraph"/>
              <w:numPr>
                <w:ilvl w:val="0"/>
                <w:numId w:val="7"/>
              </w:numPr>
              <w:jc w:val="both"/>
              <w:rPr>
                <w:bCs/>
                <w:iCs/>
                <w:sz w:val="22"/>
                <w:szCs w:val="22"/>
              </w:rPr>
            </w:pPr>
            <w:r>
              <w:rPr>
                <w:bCs/>
                <w:iCs/>
                <w:sz w:val="22"/>
                <w:szCs w:val="22"/>
              </w:rPr>
              <w:t>procesele de implementare a noilor aparate de marcat, ulterioare avizării tehnice a prototipurilor, respectiv autorizarea distribuitorilor, producția noilor modele de aparate de marcat, aprovizionarea d</w:t>
            </w:r>
            <w:r>
              <w:rPr>
                <w:bCs/>
                <w:iCs/>
                <w:sz w:val="22"/>
                <w:szCs w:val="22"/>
              </w:rPr>
              <w:t xml:space="preserve">istribuitorilor, achiziția aparatelor de marcat și fiscalizarea acestora, care sunt consumatoare de timp și care fac imposibilă punerea pe piață a aparatelor de marcat până la termenele prevăzute de lege pentru dotarea operatorilor economici, </w:t>
            </w:r>
          </w:p>
          <w:p w:rsidR="000C57BF" w:rsidRDefault="007F79BB">
            <w:pPr>
              <w:pStyle w:val="ListParagraph"/>
              <w:numPr>
                <w:ilvl w:val="0"/>
                <w:numId w:val="7"/>
              </w:numPr>
              <w:jc w:val="both"/>
              <w:rPr>
                <w:bCs/>
                <w:iCs/>
                <w:sz w:val="22"/>
                <w:szCs w:val="22"/>
              </w:rPr>
            </w:pPr>
            <w:r>
              <w:rPr>
                <w:bCs/>
                <w:iCs/>
                <w:sz w:val="22"/>
                <w:szCs w:val="22"/>
              </w:rPr>
              <w:t>imposibilita</w:t>
            </w:r>
            <w:r>
              <w:rPr>
                <w:bCs/>
                <w:iCs/>
                <w:sz w:val="22"/>
                <w:szCs w:val="22"/>
              </w:rPr>
              <w:t xml:space="preserve">tea operatorilor economici de a se dota cu aparate de marcat noi până la data de 1 iunie, respectiv 1 august, </w:t>
            </w:r>
          </w:p>
          <w:p w:rsidR="000C57BF" w:rsidRDefault="007F79BB">
            <w:pPr>
              <w:pStyle w:val="ListParagraph"/>
              <w:numPr>
                <w:ilvl w:val="0"/>
                <w:numId w:val="7"/>
              </w:numPr>
              <w:jc w:val="both"/>
              <w:rPr>
                <w:bCs/>
                <w:iCs/>
                <w:sz w:val="22"/>
                <w:szCs w:val="22"/>
              </w:rPr>
            </w:pPr>
            <w:r>
              <w:rPr>
                <w:bCs/>
                <w:iCs/>
                <w:sz w:val="22"/>
                <w:szCs w:val="22"/>
              </w:rPr>
              <w:t>Situația extraordinară este justificată de pericolul afectării grave a activității economice a operatorilor economici, în condițiile în care prev</w:t>
            </w:r>
            <w:r>
              <w:rPr>
                <w:bCs/>
                <w:iCs/>
                <w:sz w:val="22"/>
                <w:szCs w:val="22"/>
              </w:rPr>
              <w:t>ederea legală în vigoare le interzice începând cu 1 iunie, respectiv 1 august, să utilizeze actualele case de marcat, iar aceștia nu au posibilitatea, din motive care nu le sunt imputabile, de a se dota cu noile aparate de marcat electronice fiscale cu jur</w:t>
            </w:r>
            <w:r>
              <w:rPr>
                <w:bCs/>
                <w:iCs/>
                <w:sz w:val="22"/>
                <w:szCs w:val="22"/>
              </w:rPr>
              <w:t>nal electronic, riscând în plus și sancțiuni drastice,</w:t>
            </w:r>
          </w:p>
          <w:p w:rsidR="000C57BF" w:rsidRDefault="007F79BB">
            <w:pPr>
              <w:widowControl w:val="0"/>
              <w:numPr>
                <w:ilvl w:val="0"/>
                <w:numId w:val="7"/>
              </w:numPr>
              <w:tabs>
                <w:tab w:val="left" w:pos="918"/>
              </w:tabs>
              <w:suppressAutoHyphens w:val="0"/>
              <w:ind w:right="144"/>
              <w:jc w:val="both"/>
              <w:rPr>
                <w:sz w:val="22"/>
                <w:szCs w:val="22"/>
                <w:lang w:eastAsia="en-GB"/>
              </w:rPr>
            </w:pPr>
            <w:r>
              <w:rPr>
                <w:sz w:val="22"/>
                <w:szCs w:val="22"/>
                <w:lang w:eastAsia="en-GB"/>
              </w:rPr>
              <w:t>asigurării diversificării canalelor de distribuție și flexibilizării procesului de vânzare a titlurilor de stat emise de Ministerul Finanțelor Publice pentru populație prin intermediul unor entități ca</w:t>
            </w:r>
            <w:r>
              <w:rPr>
                <w:sz w:val="22"/>
                <w:szCs w:val="22"/>
                <w:lang w:eastAsia="en-GB"/>
              </w:rPr>
              <w:t>re au infrastructura și rețea de acoperire la nivel național, inclusiv în mediul rural.</w:t>
            </w:r>
          </w:p>
          <w:p w:rsidR="000C57BF" w:rsidRDefault="000C57BF">
            <w:pPr>
              <w:widowControl w:val="0"/>
              <w:tabs>
                <w:tab w:val="left" w:pos="918"/>
              </w:tabs>
              <w:suppressAutoHyphens w:val="0"/>
              <w:ind w:left="360" w:right="144"/>
              <w:jc w:val="both"/>
              <w:rPr>
                <w:sz w:val="22"/>
                <w:szCs w:val="22"/>
              </w:rPr>
            </w:pPr>
          </w:p>
        </w:tc>
      </w:tr>
      <w:tr w:rsidR="000C57BF">
        <w:tc>
          <w:tcPr>
            <w:tcW w:w="34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1. Descrierea situaţiei actuale</w:t>
            </w:r>
          </w:p>
        </w:tc>
        <w:tc>
          <w:tcPr>
            <w:tcW w:w="6202" w:type="dxa"/>
            <w:gridSpan w:val="9"/>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lang w:val="en-US"/>
              </w:rPr>
            </w:pPr>
            <w:r>
              <w:rPr>
                <w:bCs/>
                <w:iCs/>
                <w:sz w:val="22"/>
                <w:szCs w:val="22"/>
                <w:lang w:val="en-US"/>
              </w:rPr>
              <w:t xml:space="preserve">A. Regimul utilizării aparatelor de marcat electronice fiscale este reglementat în prezent de prevederile Ordonanţei de urgenţă a </w:t>
            </w:r>
            <w:r>
              <w:rPr>
                <w:bCs/>
                <w:iCs/>
                <w:sz w:val="22"/>
                <w:szCs w:val="22"/>
                <w:lang w:val="en-US"/>
              </w:rPr>
              <w:t>Guvernului nr.28/1999 privind obligaţia operatorilor economici de a utiliza aparate de marcat electronice fiscale, republicată, cu modificările şi completările ulterioare şi de Normele metodologice pentru aplicarea Ordonanţei de urgenţă a Guvernului nr. 28</w:t>
            </w:r>
            <w:r>
              <w:rPr>
                <w:bCs/>
                <w:iCs/>
                <w:sz w:val="22"/>
                <w:szCs w:val="22"/>
                <w:lang w:val="en-US"/>
              </w:rPr>
              <w:t>/1999 privind obligaţia operatorilor economici de a utiliza aparate de marcat electronice fiscale, aprobate prin Hotărârea Guvernului nr.479/2003, republicată, cu modificările ulterioare.</w:t>
            </w:r>
          </w:p>
          <w:p w:rsidR="000C57BF" w:rsidRDefault="007F79BB">
            <w:pPr>
              <w:jc w:val="both"/>
              <w:rPr>
                <w:bCs/>
                <w:iCs/>
                <w:sz w:val="22"/>
                <w:szCs w:val="22"/>
                <w:lang w:val="en-US"/>
              </w:rPr>
            </w:pPr>
            <w:r>
              <w:rPr>
                <w:bCs/>
                <w:iCs/>
                <w:sz w:val="22"/>
                <w:szCs w:val="22"/>
                <w:lang w:val="en-US"/>
              </w:rPr>
              <w:t xml:space="preserve">       Ordonanţa de urgenţă a Guvernului nr. 91/2014 pentru modifica</w:t>
            </w:r>
            <w:r>
              <w:rPr>
                <w:bCs/>
                <w:iCs/>
                <w:sz w:val="22"/>
                <w:szCs w:val="22"/>
                <w:lang w:val="en-US"/>
              </w:rPr>
              <w:t>rea şi completarea Ordonanţei de urgenţă a Guvernului nr. 28/1999 privind obligaţia operatorilor economici de a utiliza aparate de marcat electronice fiscale, este actul normativ prin care au fost realizate ultimele modificări substanțiale ale actului norm</w:t>
            </w:r>
            <w:r>
              <w:rPr>
                <w:bCs/>
                <w:iCs/>
                <w:sz w:val="22"/>
                <w:szCs w:val="22"/>
                <w:lang w:val="en-US"/>
              </w:rPr>
              <w:t>ativ de bază și care vizează, în principal,  înlocuirea etapizată a aparatelor de marcat electronice fiscale dotate cu role jurnal pe suport de hârtie cu cele echipate cu jurnal electronic, astfel încât utilizatorii să poată achiziționa treptat noile apara</w:t>
            </w:r>
            <w:r>
              <w:rPr>
                <w:bCs/>
                <w:iCs/>
                <w:sz w:val="22"/>
                <w:szCs w:val="22"/>
                <w:lang w:val="en-US"/>
              </w:rPr>
              <w:t xml:space="preserve">te, fără perturbarea activității comerciale și fără pierderi financiare, iar importatorii și distribuitorii de aparate de marcat să aibă la dispoziție un interval de timp suficient </w:t>
            </w:r>
            <w:r>
              <w:rPr>
                <w:bCs/>
                <w:iCs/>
                <w:sz w:val="22"/>
                <w:szCs w:val="22"/>
                <w:lang w:val="en-US"/>
              </w:rPr>
              <w:lastRenderedPageBreak/>
              <w:t>pentru a-și lichida stocurile de modele vechi și pentru a obține avizul teh</w:t>
            </w:r>
            <w:r>
              <w:rPr>
                <w:bCs/>
                <w:iCs/>
                <w:sz w:val="22"/>
                <w:szCs w:val="22"/>
                <w:lang w:val="en-US"/>
              </w:rPr>
              <w:t>nic favorabil și autorizația de distribuție pentru noile modele.</w:t>
            </w:r>
          </w:p>
          <w:p w:rsidR="000C57BF" w:rsidRDefault="007F79BB">
            <w:pPr>
              <w:jc w:val="both"/>
              <w:rPr>
                <w:bCs/>
                <w:iCs/>
                <w:sz w:val="22"/>
                <w:szCs w:val="22"/>
                <w:lang w:val="en-US"/>
              </w:rPr>
            </w:pPr>
            <w:r>
              <w:rPr>
                <w:bCs/>
                <w:iCs/>
                <w:sz w:val="22"/>
                <w:szCs w:val="22"/>
                <w:lang w:val="en-US"/>
              </w:rPr>
              <w:t xml:space="preserve">       </w:t>
            </w:r>
            <w:r>
              <w:rPr>
                <w:bCs/>
                <w:iCs/>
                <w:sz w:val="22"/>
                <w:szCs w:val="22"/>
                <w:lang w:val="en-US"/>
              </w:rPr>
              <w:t>De asemenea, prin dispozițiile Ordonanței de urgență a Guvernului nr. 91/2014 s-au instituit o serie de termene și instituții responsabile, pentru implementarea noilor aparate de marcat electronice fiscale dotate cu jurnal electronic, precum și pentru elab</w:t>
            </w:r>
            <w:r>
              <w:rPr>
                <w:bCs/>
                <w:iCs/>
                <w:sz w:val="22"/>
                <w:szCs w:val="22"/>
                <w:lang w:val="en-US"/>
              </w:rPr>
              <w:t>orarea legislației subsecvente, termene care  au fost prorogate succesiv prin Ordonanța Guvernului nr.17/2015 privind reglementarea unor măsuri fiscal-bugetare și modificarea și completarea unor acte normative, Ordonanța de urgență a Guvernului nr. 57/2015</w:t>
            </w:r>
            <w:r>
              <w:rPr>
                <w:bCs/>
                <w:iCs/>
                <w:sz w:val="22"/>
                <w:szCs w:val="22"/>
                <w:lang w:val="en-US"/>
              </w:rPr>
              <w:t xml:space="preserve"> privind salarizarea personalului plătit din fonduri publice în anul 2016, prorogarea unor termene, precum și unele măsuri fiscal-bugetare,  Ordonanța de urgență a Guvernului nr.98/2016 pentru prorogarea unor termene, instituirea unor noi termene, privind </w:t>
            </w:r>
            <w:r>
              <w:rPr>
                <w:bCs/>
                <w:iCs/>
                <w:sz w:val="22"/>
                <w:szCs w:val="22"/>
                <w:lang w:val="en-US"/>
              </w:rPr>
              <w:t>unele măsuri pentru finalizarea activităţilor cuprinse în contractele încheiate în cadrul Acordului de împrumut dintre România şi Banca Internaţională pentru Reconstrucţie şi Dezvoltare pentru finanţarea Proiectului privind reforma sistemului judiciar, sem</w:t>
            </w:r>
            <w:r>
              <w:rPr>
                <w:bCs/>
                <w:iCs/>
                <w:sz w:val="22"/>
                <w:szCs w:val="22"/>
                <w:lang w:val="en-US"/>
              </w:rPr>
              <w:t xml:space="preserve">nat la Bucureşti la 27 ianuarie 2006, ratificat prin Legea nr. 205/2006, precum şi pentru modificarea şi completarea unor acte normative și respectiv Ordonanţa </w:t>
            </w:r>
            <w:r>
              <w:rPr>
                <w:iCs/>
                <w:sz w:val="22"/>
                <w:szCs w:val="22"/>
                <w:lang w:val="en-US"/>
              </w:rPr>
              <w:t xml:space="preserve">Guvernului nr. 20/2017 </w:t>
            </w:r>
            <w:r>
              <w:rPr>
                <w:bCs/>
                <w:iCs/>
                <w:sz w:val="22"/>
                <w:szCs w:val="22"/>
                <w:lang w:val="en-US"/>
              </w:rPr>
              <w:t>pentru reglementarea unor măsuri fiscal-bugetare şi modificarea şi prorog</w:t>
            </w:r>
            <w:r>
              <w:rPr>
                <w:bCs/>
                <w:iCs/>
                <w:sz w:val="22"/>
                <w:szCs w:val="22"/>
                <w:lang w:val="en-US"/>
              </w:rPr>
              <w:t>area unor termene</w:t>
            </w:r>
            <w:r>
              <w:rPr>
                <w:iCs/>
                <w:sz w:val="22"/>
                <w:szCs w:val="22"/>
                <w:lang w:val="en-US"/>
              </w:rPr>
              <w:t>,</w:t>
            </w:r>
            <w:r>
              <w:rPr>
                <w:bCs/>
                <w:iCs/>
                <w:sz w:val="22"/>
                <w:szCs w:val="22"/>
                <w:lang w:val="en-US"/>
              </w:rPr>
              <w:t xml:space="preserve"> în prezent acestea fiind :</w:t>
            </w:r>
          </w:p>
          <w:p w:rsidR="000C57BF" w:rsidRDefault="007F79BB">
            <w:pPr>
              <w:pStyle w:val="ListParagraph"/>
              <w:numPr>
                <w:ilvl w:val="0"/>
                <w:numId w:val="2"/>
              </w:numPr>
              <w:ind w:left="5"/>
              <w:jc w:val="both"/>
              <w:rPr>
                <w:bCs/>
                <w:iCs/>
                <w:sz w:val="22"/>
                <w:szCs w:val="22"/>
                <w:lang w:val="en-US"/>
              </w:rPr>
            </w:pPr>
            <w:r>
              <w:rPr>
                <w:bCs/>
                <w:iCs/>
                <w:sz w:val="22"/>
                <w:szCs w:val="22"/>
                <w:lang w:val="en-US"/>
              </w:rPr>
              <w:t>începând cu data de 1 august 2018, se interzice comercializarea aparatelor de marcat electronice fiscale cu rolă jurnal (de generație veche);</w:t>
            </w:r>
          </w:p>
          <w:p w:rsidR="000C57BF" w:rsidRDefault="007F79BB">
            <w:pPr>
              <w:pStyle w:val="ListParagraph"/>
              <w:numPr>
                <w:ilvl w:val="0"/>
                <w:numId w:val="2"/>
              </w:numPr>
              <w:ind w:left="5"/>
              <w:jc w:val="both"/>
              <w:rPr>
                <w:bCs/>
                <w:iCs/>
                <w:sz w:val="22"/>
                <w:szCs w:val="22"/>
                <w:lang w:val="en-US"/>
              </w:rPr>
            </w:pPr>
            <w:r>
              <w:rPr>
                <w:bCs/>
                <w:iCs/>
                <w:sz w:val="22"/>
                <w:szCs w:val="22"/>
                <w:lang w:val="en-US"/>
              </w:rPr>
              <w:t>începând cu data de 1 iunie 2018, operatorii economici care au calit</w:t>
            </w:r>
            <w:r>
              <w:rPr>
                <w:bCs/>
                <w:iCs/>
                <w:sz w:val="22"/>
                <w:szCs w:val="22"/>
                <w:lang w:val="en-US"/>
              </w:rPr>
              <w:t>atea de contribuabili mari şi mijlocii, potrivit dispoziţiilor legale, au obligația de a utiliza numai case de marcat cu jurnal electronic;</w:t>
            </w:r>
          </w:p>
          <w:p w:rsidR="000C57BF" w:rsidRDefault="007F79BB">
            <w:pPr>
              <w:pStyle w:val="ListParagraph"/>
              <w:numPr>
                <w:ilvl w:val="0"/>
                <w:numId w:val="2"/>
              </w:numPr>
              <w:ind w:left="5"/>
              <w:jc w:val="both"/>
              <w:rPr>
                <w:bCs/>
                <w:iCs/>
                <w:sz w:val="22"/>
                <w:szCs w:val="22"/>
                <w:lang w:val="en-US"/>
              </w:rPr>
            </w:pPr>
            <w:r>
              <w:rPr>
                <w:bCs/>
                <w:iCs/>
                <w:sz w:val="22"/>
                <w:szCs w:val="22"/>
                <w:lang w:val="en-US"/>
              </w:rPr>
              <w:t>începând cu data de 1 august 2018, operatorii economici care au calitatea de contribuabili mici, potrivit dispoziţii</w:t>
            </w:r>
            <w:r>
              <w:rPr>
                <w:bCs/>
                <w:iCs/>
                <w:sz w:val="22"/>
                <w:szCs w:val="22"/>
                <w:lang w:val="en-US"/>
              </w:rPr>
              <w:t>lor legale, au obligația de a utiliza numai case de marcat cu jurnal electronic.</w:t>
            </w:r>
          </w:p>
          <w:p w:rsidR="000C57BF" w:rsidRDefault="007F79BB">
            <w:pPr>
              <w:jc w:val="both"/>
              <w:rPr>
                <w:bCs/>
                <w:iCs/>
                <w:sz w:val="22"/>
                <w:szCs w:val="22"/>
                <w:lang w:val="en-US"/>
              </w:rPr>
            </w:pPr>
            <w:r>
              <w:rPr>
                <w:bCs/>
                <w:iCs/>
                <w:sz w:val="22"/>
                <w:szCs w:val="22"/>
                <w:lang w:val="en-US"/>
              </w:rPr>
              <w:t xml:space="preserve">          Totodată, în vederea corelării termenelor din Ordonanţa de urgenţă a Guvernului nr. 91/2014 cu cele prevăzute de Ordonanţa de urgenţă nr. 28/1999, prin Ordonanţa Guv</w:t>
            </w:r>
            <w:r>
              <w:rPr>
                <w:bCs/>
                <w:iCs/>
                <w:sz w:val="22"/>
                <w:szCs w:val="22"/>
                <w:lang w:val="en-US"/>
              </w:rPr>
              <w:t xml:space="preserve">ernului nr. 20/2017 a fost modificată şi Ordonanţa Guvernului nr. 28/1999, republicată, cu modificările şi completările ulterioare, astfel: </w:t>
            </w:r>
          </w:p>
          <w:p w:rsidR="000C57BF" w:rsidRDefault="007F79BB">
            <w:pPr>
              <w:pStyle w:val="ListParagraph"/>
              <w:numPr>
                <w:ilvl w:val="0"/>
                <w:numId w:val="2"/>
              </w:numPr>
              <w:ind w:left="0"/>
              <w:jc w:val="both"/>
              <w:rPr>
                <w:bCs/>
                <w:iCs/>
                <w:sz w:val="22"/>
                <w:szCs w:val="22"/>
              </w:rPr>
            </w:pPr>
            <w:r>
              <w:rPr>
                <w:bCs/>
                <w:iCs/>
                <w:sz w:val="22"/>
                <w:szCs w:val="22"/>
              </w:rPr>
              <w:t>a fost precizat termenul limită până la care își mențin valabilitatea avizele/autorizațiile privind distribuția apa</w:t>
            </w:r>
            <w:r>
              <w:rPr>
                <w:bCs/>
                <w:iCs/>
                <w:sz w:val="22"/>
                <w:szCs w:val="22"/>
              </w:rPr>
              <w:t>ratelor de marcat electronice fiscale dotate cu rolă jurnal, în speță data de 31 iulie 2018 ;</w:t>
            </w:r>
          </w:p>
          <w:p w:rsidR="000C57BF" w:rsidRDefault="007F79BB">
            <w:pPr>
              <w:pStyle w:val="ListParagraph"/>
              <w:numPr>
                <w:ilvl w:val="0"/>
                <w:numId w:val="2"/>
              </w:numPr>
              <w:tabs>
                <w:tab w:val="left" w:pos="997"/>
              </w:tabs>
              <w:ind w:left="0"/>
              <w:jc w:val="both"/>
              <w:rPr>
                <w:bCs/>
                <w:iCs/>
                <w:sz w:val="22"/>
                <w:szCs w:val="22"/>
              </w:rPr>
            </w:pPr>
            <w:r>
              <w:rPr>
                <w:bCs/>
                <w:iCs/>
                <w:sz w:val="22"/>
                <w:szCs w:val="22"/>
              </w:rPr>
              <w:t>au fost prevăzute  sancțiuni contravenționale pentru</w:t>
            </w:r>
            <w:r>
              <w:rPr>
                <w:bCs/>
                <w:iCs/>
                <w:sz w:val="22"/>
                <w:szCs w:val="22"/>
                <w:lang w:val="en-US"/>
              </w:rPr>
              <w:t>:</w:t>
            </w:r>
            <w:r>
              <w:rPr>
                <w:bCs/>
                <w:iCs/>
                <w:sz w:val="22"/>
                <w:szCs w:val="22"/>
              </w:rPr>
              <w:t xml:space="preserve"> </w:t>
            </w:r>
          </w:p>
          <w:p w:rsidR="000C57BF" w:rsidRDefault="007F79BB">
            <w:pPr>
              <w:pStyle w:val="ListParagraph"/>
              <w:numPr>
                <w:ilvl w:val="0"/>
                <w:numId w:val="4"/>
              </w:numPr>
              <w:tabs>
                <w:tab w:val="left" w:pos="744"/>
                <w:tab w:val="left" w:pos="1111"/>
              </w:tabs>
              <w:ind w:left="35"/>
              <w:jc w:val="both"/>
              <w:rPr>
                <w:bCs/>
                <w:iCs/>
                <w:sz w:val="22"/>
                <w:szCs w:val="22"/>
              </w:rPr>
            </w:pPr>
            <w:r>
              <w:rPr>
                <w:bCs/>
                <w:iCs/>
                <w:sz w:val="22"/>
                <w:szCs w:val="22"/>
              </w:rPr>
              <w:t>comercializarea, începând cu data de 1 august 2018, de către distribuitorii autorizaţi sau de către unităţi</w:t>
            </w:r>
            <w:r>
              <w:rPr>
                <w:bCs/>
                <w:iCs/>
                <w:sz w:val="22"/>
                <w:szCs w:val="22"/>
              </w:rPr>
              <w:t>le din reţeaua acestora acreditate pentru comercializare, a aparatelor de marcat vechi,</w:t>
            </w:r>
          </w:p>
          <w:p w:rsidR="000C57BF" w:rsidRDefault="007F79BB">
            <w:pPr>
              <w:pStyle w:val="ListParagraph"/>
              <w:numPr>
                <w:ilvl w:val="0"/>
                <w:numId w:val="4"/>
              </w:numPr>
              <w:tabs>
                <w:tab w:val="left" w:pos="744"/>
                <w:tab w:val="left" w:pos="1111"/>
              </w:tabs>
              <w:ind w:left="20"/>
              <w:jc w:val="both"/>
              <w:rPr>
                <w:bCs/>
                <w:iCs/>
                <w:sz w:val="22"/>
                <w:szCs w:val="22"/>
              </w:rPr>
            </w:pPr>
            <w:r>
              <w:rPr>
                <w:bCs/>
                <w:iCs/>
                <w:sz w:val="22"/>
                <w:szCs w:val="22"/>
              </w:rPr>
              <w:t>nerespectarea de către utilizatorii aparatelor de marcat electronice fiscale a termenelor prevăzute de lege, de a utiliza numai aparate de marcat electronice fiscale cu</w:t>
            </w:r>
            <w:r>
              <w:rPr>
                <w:bCs/>
                <w:iCs/>
                <w:sz w:val="22"/>
                <w:szCs w:val="22"/>
              </w:rPr>
              <w:t xml:space="preserve"> jurnal electronic .</w:t>
            </w:r>
          </w:p>
          <w:p w:rsidR="000C57BF" w:rsidRDefault="007F79BB">
            <w:pPr>
              <w:pStyle w:val="ListParagraph"/>
              <w:ind w:left="0"/>
              <w:jc w:val="both"/>
              <w:rPr>
                <w:sz w:val="22"/>
                <w:szCs w:val="22"/>
              </w:rPr>
            </w:pPr>
            <w:r>
              <w:rPr>
                <w:sz w:val="22"/>
                <w:szCs w:val="22"/>
              </w:rPr>
              <w:t xml:space="preserve">       Legislația în vigoare prevede sancțiuni drastice pentru  nerespectarea obligației de dotare cu aparate de marcat electronice fiscale cu jurnal electronic (amendă, confiscarea sumelor nejustificate, suspendarea activității) iar </w:t>
            </w:r>
            <w:r>
              <w:rPr>
                <w:sz w:val="22"/>
                <w:szCs w:val="22"/>
              </w:rPr>
              <w:t>fapta  reprezintă un criteriu important pentru analiza de risc efectuată de Agenția Națională de Administrare Fiscală.</w:t>
            </w:r>
          </w:p>
          <w:p w:rsidR="000C57BF" w:rsidRDefault="007F79BB">
            <w:pPr>
              <w:jc w:val="both"/>
              <w:rPr>
                <w:bCs/>
                <w:iCs/>
                <w:sz w:val="22"/>
                <w:szCs w:val="22"/>
              </w:rPr>
            </w:pPr>
            <w:r>
              <w:rPr>
                <w:bCs/>
                <w:iCs/>
                <w:sz w:val="22"/>
                <w:szCs w:val="22"/>
              </w:rPr>
              <w:t xml:space="preserve">        Menționăm  că, în prezent, legislația primară, secundară, şi respectiv cea terțiară, necesară implementării noilor aparate de mar</w:t>
            </w:r>
            <w:r>
              <w:rPr>
                <w:bCs/>
                <w:iCs/>
                <w:sz w:val="22"/>
                <w:szCs w:val="22"/>
              </w:rPr>
              <w:t xml:space="preserve">cat electronice fiscale dotate cu jurnal electronic a fost finalizată, iar procesul de avizare tehnică a prototipurilor și documentațiilor </w:t>
            </w:r>
            <w:r>
              <w:rPr>
                <w:bCs/>
                <w:iCs/>
                <w:sz w:val="22"/>
                <w:szCs w:val="22"/>
              </w:rPr>
              <w:lastRenderedPageBreak/>
              <w:t>depuse de un număr relativ redus de producători/distribuitori, este în plină desfășurare.</w:t>
            </w:r>
          </w:p>
          <w:p w:rsidR="000C57BF" w:rsidRDefault="007F79BB">
            <w:pPr>
              <w:jc w:val="both"/>
              <w:rPr>
                <w:bCs/>
                <w:iCs/>
                <w:sz w:val="22"/>
                <w:szCs w:val="22"/>
              </w:rPr>
            </w:pPr>
            <w:r>
              <w:rPr>
                <w:bCs/>
                <w:iCs/>
                <w:sz w:val="22"/>
                <w:szCs w:val="22"/>
              </w:rPr>
              <w:t xml:space="preserve">         La data de 27.04.2</w:t>
            </w:r>
            <w:r>
              <w:rPr>
                <w:bCs/>
                <w:iCs/>
                <w:sz w:val="22"/>
                <w:szCs w:val="22"/>
              </w:rPr>
              <w:t>018 la ICI București au fost depuse un număr de 23 prototipuri, de către un număr de 15 producători/distribuitori.</w:t>
            </w:r>
          </w:p>
          <w:p w:rsidR="000C57BF" w:rsidRDefault="007F79BB">
            <w:pPr>
              <w:jc w:val="both"/>
              <w:rPr>
                <w:bCs/>
                <w:iCs/>
                <w:sz w:val="22"/>
                <w:szCs w:val="22"/>
              </w:rPr>
            </w:pPr>
            <w:r>
              <w:rPr>
                <w:bCs/>
                <w:iCs/>
                <w:sz w:val="22"/>
                <w:szCs w:val="22"/>
              </w:rPr>
              <w:t xml:space="preserve">       La această dată procesul de testare și avizare efectivă a prototipurilor depuse la ICI București nu a fost finalizat, emiterea primelo</w:t>
            </w:r>
            <w:r>
              <w:rPr>
                <w:bCs/>
                <w:iCs/>
                <w:sz w:val="22"/>
                <w:szCs w:val="22"/>
              </w:rPr>
              <w:t>r avize tehnice fiind preconizată a se realiza în cursul lunii mai.</w:t>
            </w:r>
          </w:p>
          <w:p w:rsidR="000C57BF" w:rsidRDefault="007F79BB">
            <w:pPr>
              <w:tabs>
                <w:tab w:val="left" w:pos="709"/>
                <w:tab w:val="left" w:pos="993"/>
              </w:tabs>
              <w:jc w:val="both"/>
              <w:rPr>
                <w:bCs/>
                <w:iCs/>
                <w:sz w:val="22"/>
                <w:szCs w:val="22"/>
                <w:lang w:val="en-US"/>
              </w:rPr>
            </w:pPr>
            <w:r>
              <w:rPr>
                <w:bCs/>
                <w:iCs/>
                <w:sz w:val="22"/>
                <w:szCs w:val="22"/>
              </w:rPr>
              <w:t xml:space="preserve">      După emiterea de către ICI București a avizelor tehnice favorabile, trebuie parcurse alte etape obligatorii, consumatoare de timp, după cum urmează</w:t>
            </w:r>
            <w:r>
              <w:rPr>
                <w:bCs/>
                <w:iCs/>
                <w:sz w:val="22"/>
                <w:szCs w:val="22"/>
                <w:lang w:val="en-US"/>
              </w:rPr>
              <w:t>:</w:t>
            </w:r>
          </w:p>
          <w:p w:rsidR="000C57BF" w:rsidRDefault="007F79BB">
            <w:pPr>
              <w:pStyle w:val="ListParagraph"/>
              <w:numPr>
                <w:ilvl w:val="0"/>
                <w:numId w:val="2"/>
              </w:numPr>
              <w:ind w:left="20"/>
              <w:jc w:val="both"/>
              <w:rPr>
                <w:bCs/>
                <w:iCs/>
                <w:sz w:val="22"/>
                <w:szCs w:val="22"/>
              </w:rPr>
            </w:pPr>
            <w:r>
              <w:rPr>
                <w:bCs/>
                <w:iCs/>
                <w:sz w:val="22"/>
                <w:szCs w:val="22"/>
              </w:rPr>
              <w:t>autorizarea distribuitorilor de c</w:t>
            </w:r>
            <w:r>
              <w:rPr>
                <w:bCs/>
                <w:iCs/>
                <w:sz w:val="22"/>
                <w:szCs w:val="22"/>
              </w:rPr>
              <w:t>ătre Ministerul Finanțelor Publice;</w:t>
            </w:r>
          </w:p>
          <w:p w:rsidR="000C57BF" w:rsidRDefault="007F79BB">
            <w:pPr>
              <w:pStyle w:val="ListParagraph"/>
              <w:numPr>
                <w:ilvl w:val="0"/>
                <w:numId w:val="2"/>
              </w:numPr>
              <w:ind w:left="20"/>
              <w:jc w:val="both"/>
              <w:rPr>
                <w:bCs/>
                <w:iCs/>
                <w:sz w:val="22"/>
                <w:szCs w:val="22"/>
              </w:rPr>
            </w:pPr>
            <w:r>
              <w:rPr>
                <w:bCs/>
                <w:iCs/>
                <w:sz w:val="22"/>
                <w:szCs w:val="22"/>
              </w:rPr>
              <w:t>producția noilor modele de aparate de marcat;</w:t>
            </w:r>
          </w:p>
          <w:p w:rsidR="000C57BF" w:rsidRDefault="007F79BB">
            <w:pPr>
              <w:pStyle w:val="ListParagraph"/>
              <w:numPr>
                <w:ilvl w:val="0"/>
                <w:numId w:val="2"/>
              </w:numPr>
              <w:ind w:left="20"/>
              <w:jc w:val="both"/>
              <w:rPr>
                <w:bCs/>
                <w:iCs/>
                <w:sz w:val="22"/>
                <w:szCs w:val="22"/>
              </w:rPr>
            </w:pPr>
            <w:r>
              <w:rPr>
                <w:bCs/>
                <w:iCs/>
                <w:sz w:val="22"/>
                <w:szCs w:val="22"/>
              </w:rPr>
              <w:t>aprovizionarea distribuitorilor;</w:t>
            </w:r>
          </w:p>
          <w:p w:rsidR="000C57BF" w:rsidRDefault="007F79BB">
            <w:pPr>
              <w:pStyle w:val="ListParagraph"/>
              <w:numPr>
                <w:ilvl w:val="0"/>
                <w:numId w:val="2"/>
              </w:numPr>
              <w:tabs>
                <w:tab w:val="left" w:pos="709"/>
                <w:tab w:val="left" w:pos="993"/>
              </w:tabs>
              <w:suppressAutoHyphens w:val="0"/>
              <w:spacing w:after="160" w:line="259" w:lineRule="auto"/>
              <w:jc w:val="both"/>
              <w:rPr>
                <w:bCs/>
                <w:iCs/>
                <w:sz w:val="22"/>
                <w:szCs w:val="22"/>
              </w:rPr>
            </w:pPr>
            <w:r>
              <w:rPr>
                <w:bCs/>
                <w:iCs/>
                <w:sz w:val="22"/>
                <w:szCs w:val="22"/>
              </w:rPr>
              <w:t>achiziția aparatelor de marcat de către utilizatori;</w:t>
            </w:r>
          </w:p>
          <w:p w:rsidR="000C57BF" w:rsidRDefault="007F79BB">
            <w:pPr>
              <w:pStyle w:val="ListParagraph"/>
              <w:numPr>
                <w:ilvl w:val="0"/>
                <w:numId w:val="2"/>
              </w:numPr>
              <w:tabs>
                <w:tab w:val="left" w:pos="360"/>
                <w:tab w:val="left" w:pos="729"/>
              </w:tabs>
              <w:suppressAutoHyphens w:val="0"/>
              <w:spacing w:after="160" w:line="259" w:lineRule="auto"/>
              <w:ind w:left="20"/>
              <w:jc w:val="both"/>
              <w:rPr>
                <w:bCs/>
                <w:iCs/>
                <w:sz w:val="22"/>
                <w:szCs w:val="22"/>
              </w:rPr>
            </w:pPr>
            <w:r>
              <w:rPr>
                <w:bCs/>
                <w:iCs/>
                <w:sz w:val="22"/>
                <w:szCs w:val="22"/>
              </w:rPr>
              <w:t>fiscalizarea unui număr foarte mare de aparate de marcat . Se estimează că este necesară</w:t>
            </w:r>
            <w:r>
              <w:rPr>
                <w:bCs/>
                <w:iCs/>
                <w:sz w:val="22"/>
                <w:szCs w:val="22"/>
              </w:rPr>
              <w:t xml:space="preserve"> înlocuirea a cca 800.000 de aparate distribuite pe categorii de operatori economici  astfel:</w:t>
            </w:r>
          </w:p>
          <w:p w:rsidR="000C57BF" w:rsidRDefault="007F79BB">
            <w:pPr>
              <w:pStyle w:val="ListParagraph"/>
              <w:numPr>
                <w:ilvl w:val="0"/>
                <w:numId w:val="3"/>
              </w:numPr>
              <w:tabs>
                <w:tab w:val="left" w:pos="304"/>
                <w:tab w:val="left" w:pos="993"/>
              </w:tabs>
              <w:suppressAutoHyphens w:val="0"/>
              <w:spacing w:after="160" w:line="259" w:lineRule="auto"/>
              <w:ind w:left="0"/>
              <w:jc w:val="both"/>
              <w:rPr>
                <w:bCs/>
                <w:iCs/>
                <w:sz w:val="22"/>
                <w:szCs w:val="22"/>
              </w:rPr>
            </w:pPr>
            <w:r>
              <w:rPr>
                <w:bCs/>
                <w:iCs/>
                <w:sz w:val="22"/>
                <w:szCs w:val="22"/>
              </w:rPr>
              <w:t>contribuabili mari și mijlocii – cca 100.000 aparate de marcat - termen 1 iunie;</w:t>
            </w:r>
          </w:p>
          <w:p w:rsidR="000C57BF" w:rsidRDefault="007F79BB">
            <w:pPr>
              <w:pStyle w:val="ListParagraph"/>
              <w:numPr>
                <w:ilvl w:val="0"/>
                <w:numId w:val="3"/>
              </w:numPr>
              <w:tabs>
                <w:tab w:val="left" w:pos="304"/>
                <w:tab w:val="left" w:pos="993"/>
              </w:tabs>
              <w:suppressAutoHyphens w:val="0"/>
              <w:spacing w:after="160" w:line="259" w:lineRule="auto"/>
              <w:ind w:left="0"/>
              <w:jc w:val="both"/>
              <w:rPr>
                <w:bCs/>
                <w:iCs/>
                <w:sz w:val="22"/>
                <w:szCs w:val="22"/>
              </w:rPr>
            </w:pPr>
            <w:r>
              <w:rPr>
                <w:bCs/>
                <w:iCs/>
                <w:sz w:val="22"/>
                <w:szCs w:val="22"/>
              </w:rPr>
              <w:t>contribuabili mici - cca 700.000 aparate de marcat-termen 1 august.</w:t>
            </w:r>
          </w:p>
          <w:p w:rsidR="000C57BF" w:rsidRDefault="007F79BB">
            <w:pPr>
              <w:tabs>
                <w:tab w:val="left" w:pos="709"/>
                <w:tab w:val="left" w:pos="993"/>
              </w:tabs>
              <w:jc w:val="both"/>
              <w:rPr>
                <w:bCs/>
                <w:iCs/>
                <w:sz w:val="22"/>
                <w:szCs w:val="22"/>
              </w:rPr>
            </w:pPr>
            <w:r>
              <w:rPr>
                <w:sz w:val="22"/>
                <w:szCs w:val="22"/>
                <w:lang w:val="en-US" w:eastAsia="zh-CN"/>
              </w:rPr>
              <w:t xml:space="preserve">     </w:t>
            </w:r>
            <w:r>
              <w:rPr>
                <w:bCs/>
                <w:iCs/>
                <w:sz w:val="22"/>
                <w:szCs w:val="22"/>
              </w:rPr>
              <w:t>În acest</w:t>
            </w:r>
            <w:r>
              <w:rPr>
                <w:bCs/>
                <w:iCs/>
                <w:sz w:val="22"/>
                <w:szCs w:val="22"/>
              </w:rPr>
              <w:t xml:space="preserve"> context, se constată  faptul că operatorii economici sunt în imposibilitatea de a respecta obligația de dotare cu aparate de marcat electronice fiscale cu jurnal electronic la termenele prevăzute de lege ( 1 iunie, respectiv 1 august 2018), iar interzicer</w:t>
            </w:r>
            <w:r>
              <w:rPr>
                <w:bCs/>
                <w:iCs/>
                <w:sz w:val="22"/>
                <w:szCs w:val="22"/>
              </w:rPr>
              <w:t>ea comercializării aparatelor vechi, de la 1 august 2018, va face imposibilă dotarea cu astfel de aparate a operatorilor economici care deschid noi afaceri sau puncte de lucru.</w:t>
            </w:r>
          </w:p>
          <w:p w:rsidR="000C57BF" w:rsidRDefault="007F79BB">
            <w:pPr>
              <w:tabs>
                <w:tab w:val="left" w:pos="709"/>
                <w:tab w:val="left" w:pos="993"/>
              </w:tabs>
              <w:jc w:val="both"/>
              <w:rPr>
                <w:bCs/>
                <w:iCs/>
                <w:sz w:val="22"/>
                <w:szCs w:val="22"/>
              </w:rPr>
            </w:pPr>
            <w:r>
              <w:rPr>
                <w:bCs/>
                <w:iCs/>
                <w:sz w:val="22"/>
                <w:szCs w:val="22"/>
              </w:rPr>
              <w:t xml:space="preserve">     Aceste consecințe afectează grav activitatea operatorilor economici, care </w:t>
            </w:r>
            <w:r>
              <w:rPr>
                <w:bCs/>
                <w:iCs/>
                <w:sz w:val="22"/>
                <w:szCs w:val="22"/>
              </w:rPr>
              <w:t>riscă sancțiuni drastice (amendă, confiscarea sumelor nejustificate și suspendarea activității), fără ca nerespectarea obligației de dotare cu aparate de marcat să le fie imputabilă.</w:t>
            </w:r>
          </w:p>
          <w:p w:rsidR="000C57BF" w:rsidRDefault="007F79BB">
            <w:pPr>
              <w:jc w:val="both"/>
              <w:rPr>
                <w:bCs/>
                <w:sz w:val="22"/>
                <w:szCs w:val="22"/>
              </w:rPr>
            </w:pPr>
            <w:r>
              <w:rPr>
                <w:b/>
                <w:bCs/>
                <w:sz w:val="22"/>
                <w:szCs w:val="22"/>
              </w:rPr>
              <w:t xml:space="preserve">B. </w:t>
            </w:r>
            <w:r>
              <w:rPr>
                <w:bCs/>
                <w:sz w:val="22"/>
                <w:szCs w:val="22"/>
              </w:rPr>
              <w:t xml:space="preserve">În conformitate cu prevederile Ordonanţei de urgenţă a Guvernului nr. </w:t>
            </w:r>
            <w:r>
              <w:rPr>
                <w:bCs/>
                <w:sz w:val="22"/>
                <w:szCs w:val="22"/>
              </w:rPr>
              <w:t>64/2007 privind datoria publică, aprobată cu modificări şi completări prin Legea nr. 109/2008, cu modificările  și completările ulterioare (numită în continuare OUG nr. 64/2007), Ministerul Finanţelor Publice este singurul administrator al datoriei publice</w:t>
            </w:r>
            <w:r>
              <w:rPr>
                <w:bCs/>
                <w:sz w:val="22"/>
                <w:szCs w:val="22"/>
              </w:rPr>
              <w:t xml:space="preserve"> guvernamentale și este autorizat sa contracteze împrumuturi pentru finanţarea deficitului şi refinanţarea datoriei publice guvernamentale.</w:t>
            </w:r>
          </w:p>
          <w:p w:rsidR="000C57BF" w:rsidRDefault="007F79BB">
            <w:pPr>
              <w:jc w:val="both"/>
              <w:rPr>
                <w:bCs/>
                <w:sz w:val="22"/>
                <w:szCs w:val="22"/>
              </w:rPr>
            </w:pPr>
            <w:r>
              <w:rPr>
                <w:bCs/>
                <w:sz w:val="22"/>
                <w:szCs w:val="22"/>
              </w:rPr>
              <w:t>În cadrul acțiunilor pentru lărgirea bazei de investitori pe piața internă, dar și pentru dezvoltarea nivelului de educație financiară a populației, începând cu anul 2015 Ministerul Finanțelor Publice a reintrodus în cadrul instrumentelor de datorie public</w:t>
            </w:r>
            <w:r>
              <w:rPr>
                <w:bCs/>
                <w:sz w:val="22"/>
                <w:szCs w:val="22"/>
              </w:rPr>
              <w:t xml:space="preserve">ă și emisiunile de titluri de stat pentru populație. </w:t>
            </w:r>
          </w:p>
          <w:p w:rsidR="000C57BF" w:rsidRDefault="007F79BB">
            <w:pPr>
              <w:spacing w:before="120" w:after="120"/>
              <w:jc w:val="both"/>
              <w:rPr>
                <w:bCs/>
                <w:sz w:val="22"/>
                <w:szCs w:val="22"/>
              </w:rPr>
            </w:pPr>
            <w:r>
              <w:rPr>
                <w:bCs/>
                <w:sz w:val="22"/>
                <w:szCs w:val="22"/>
              </w:rPr>
              <w:t>Până în prezent emisiunile au fost derulate în cadrul programului FIDELIS prin mecanismul Bursei de Valori București (BVB), iar subscrierile s-au efectuat prin intermediul unui grup de bănci selectate</w:t>
            </w:r>
            <w:r>
              <w:rPr>
                <w:bCs/>
                <w:sz w:val="22"/>
                <w:szCs w:val="22"/>
                <w:lang w:val="en-US"/>
              </w:rPr>
              <w:t>:</w:t>
            </w:r>
            <w:r>
              <w:rPr>
                <w:bCs/>
                <w:sz w:val="22"/>
                <w:szCs w:val="22"/>
              </w:rPr>
              <w:t>B</w:t>
            </w:r>
            <w:r>
              <w:rPr>
                <w:bCs/>
                <w:sz w:val="22"/>
                <w:szCs w:val="22"/>
              </w:rPr>
              <w:t xml:space="preserve">RD Groupe Societe Generale SA, Banca Comercială Română SA, Banca Transilvania/BT Capital Partners și Raiffeisen Bank SA.În cadrul acestui program au fost efectuate două emisiuni cu maturități de 2 ani și dobândă de 2,15% pe an, prima emisiune în </w:t>
            </w:r>
            <w:r>
              <w:rPr>
                <w:bCs/>
                <w:sz w:val="22"/>
                <w:szCs w:val="22"/>
              </w:rPr>
              <w:lastRenderedPageBreak/>
              <w:t xml:space="preserve">anul 2015 </w:t>
            </w:r>
            <w:r>
              <w:rPr>
                <w:bCs/>
                <w:sz w:val="22"/>
                <w:szCs w:val="22"/>
              </w:rPr>
              <w:t xml:space="preserve">cu o valoare totală adjudecată de 64,99 mil. lei, urmată de a doua emisiune în luna iunie 2016, numită </w:t>
            </w:r>
            <w:r>
              <w:rPr>
                <w:bCs/>
                <w:sz w:val="22"/>
                <w:szCs w:val="22"/>
                <w:lang w:val="en-US"/>
              </w:rPr>
              <w:t>“</w:t>
            </w:r>
            <w:r>
              <w:rPr>
                <w:bCs/>
                <w:sz w:val="22"/>
                <w:szCs w:val="22"/>
              </w:rPr>
              <w:t>Centenar”, cu o valoare totală adjudecată de 735,26 mil. lei.</w:t>
            </w:r>
          </w:p>
          <w:p w:rsidR="000C57BF" w:rsidRDefault="007F79BB">
            <w:pPr>
              <w:jc w:val="both"/>
              <w:rPr>
                <w:bCs/>
                <w:sz w:val="22"/>
                <w:szCs w:val="22"/>
              </w:rPr>
            </w:pPr>
            <w:r>
              <w:rPr>
                <w:bCs/>
                <w:sz w:val="22"/>
                <w:szCs w:val="22"/>
              </w:rPr>
              <w:t xml:space="preserve">In anul 2018, pe lângă alte instrumente de datorie publica, Ministerul Finanțelor Publice </w:t>
            </w:r>
            <w:r>
              <w:rPr>
                <w:bCs/>
                <w:sz w:val="22"/>
                <w:szCs w:val="22"/>
              </w:rPr>
              <w:t xml:space="preserve">intenționează emiterea pe baze continue a unui volum indicativ anual de 4 miliarde lei prin emisiuni de titluri de stat destinate populației. Pentru atingerea acestui obiectiv este necesara extinderea canalelor de distribuție, astfel încât să fie asigurat </w:t>
            </w:r>
            <w:r>
              <w:rPr>
                <w:bCs/>
                <w:sz w:val="22"/>
                <w:szCs w:val="22"/>
              </w:rPr>
              <w:t>accesul cât mai larg al populației la aceste instrumente de datorie, inclusiv din mediul rural. În acest sens, se are în vedere lansarea Programului Tezaur – ediția Centenar prin utilizarea atât a rețelei proprii de unități operative ale Trezoreriei Statul</w:t>
            </w:r>
            <w:r>
              <w:rPr>
                <w:bCs/>
                <w:sz w:val="22"/>
                <w:szCs w:val="22"/>
              </w:rPr>
              <w:t xml:space="preserve">ui, cât și a altor entități care au capacitatea și infrastructura necesară în vederea vânzării titlurilor de stat către populație pe întreg teritoriul țării. </w:t>
            </w:r>
          </w:p>
          <w:p w:rsidR="000C57BF" w:rsidRDefault="007F79BB">
            <w:pPr>
              <w:jc w:val="both"/>
              <w:rPr>
                <w:bCs/>
                <w:sz w:val="22"/>
                <w:szCs w:val="22"/>
              </w:rPr>
            </w:pPr>
            <w:r>
              <w:rPr>
                <w:bCs/>
                <w:sz w:val="22"/>
                <w:szCs w:val="22"/>
              </w:rPr>
              <w:t>Cadrul legal care reglementează emiterea titlurilor de stat destinate populației, prin intermediu</w:t>
            </w:r>
            <w:r>
              <w:rPr>
                <w:bCs/>
                <w:sz w:val="22"/>
                <w:szCs w:val="22"/>
              </w:rPr>
              <w:t>l unităților operative ale Trezoreriei Statului, în cadrul Programului Tezaur este aprobat la nivelul Ministerului Finanțelor Publice conform Ordinului ministrului finanțelor publice nr. 3139/2017, cu modificările și completările ulterioare, publicat în Mo</w:t>
            </w:r>
            <w:r>
              <w:rPr>
                <w:bCs/>
                <w:sz w:val="22"/>
                <w:szCs w:val="22"/>
              </w:rPr>
              <w:t>nitorul Oficial nr. 974/07.12.2017, Partea I.</w:t>
            </w:r>
          </w:p>
          <w:p w:rsidR="000C57BF" w:rsidRDefault="007F79BB">
            <w:pPr>
              <w:tabs>
                <w:tab w:val="left" w:pos="709"/>
                <w:tab w:val="left" w:pos="993"/>
              </w:tabs>
              <w:jc w:val="both"/>
              <w:rPr>
                <w:bCs/>
                <w:sz w:val="22"/>
                <w:szCs w:val="22"/>
              </w:rPr>
            </w:pPr>
            <w:r>
              <w:rPr>
                <w:b/>
                <w:bCs/>
                <w:sz w:val="22"/>
                <w:szCs w:val="22"/>
              </w:rPr>
              <w:t>C.</w:t>
            </w:r>
            <w:r>
              <w:rPr>
                <w:bCs/>
                <w:sz w:val="22"/>
                <w:szCs w:val="22"/>
              </w:rPr>
              <w:t xml:space="preserve"> Prevederile actuale ale OUG nr. 64/2017 stipulează că Ministerul Finanțelor Publice este singurul administrator al datoriei publice guvernamentale. În vederea exercitării acestui rol, Ministerul Finanțelor P</w:t>
            </w:r>
            <w:r>
              <w:rPr>
                <w:bCs/>
                <w:sz w:val="22"/>
                <w:szCs w:val="22"/>
              </w:rPr>
              <w:t>ublice trebuie să aibă deplină flexibilitate atât în ceea ce privește alegerea tipului de instrument de datorie publică, cât și în identificarea celui mai potrivit moment de atragere a resurselor financiare prin monitorizarea constantă a evoluțiilor din pi</w:t>
            </w:r>
            <w:r>
              <w:rPr>
                <w:bCs/>
                <w:sz w:val="22"/>
                <w:szCs w:val="22"/>
              </w:rPr>
              <w:t>ață, în scopul îndeplinirii obiectivelor din Strategia de administrare a datoriei publice guvernamentale pe termen mediu, de asigurarea necesarului de finanţare al administraţiei publice centrale şi a obligaţiilor de plată, pe fondul minimizării costurilor</w:t>
            </w:r>
            <w:r>
              <w:rPr>
                <w:bCs/>
                <w:sz w:val="22"/>
                <w:szCs w:val="22"/>
              </w:rPr>
              <w:t xml:space="preserve"> pe termen mediu şi lung, precum și de limitarea riscurilor financiare asociate portofoliului datoriei publice guvernamentale.</w:t>
            </w:r>
          </w:p>
        </w:tc>
      </w:tr>
      <w:tr w:rsidR="000C57BF">
        <w:tc>
          <w:tcPr>
            <w:tcW w:w="34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lastRenderedPageBreak/>
              <w:t>2. Schimbări preconizate</w:t>
            </w:r>
          </w:p>
        </w:tc>
        <w:tc>
          <w:tcPr>
            <w:tcW w:w="6202" w:type="dxa"/>
            <w:gridSpan w:val="9"/>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b/>
                <w:sz w:val="22"/>
                <w:szCs w:val="22"/>
              </w:rPr>
              <w:t>A</w:t>
            </w:r>
            <w:r>
              <w:rPr>
                <w:sz w:val="22"/>
                <w:szCs w:val="22"/>
              </w:rPr>
              <w:t xml:space="preserve">. Având în vedere faptul că </w:t>
            </w:r>
          </w:p>
          <w:p w:rsidR="000C57BF" w:rsidRDefault="007F79BB">
            <w:pPr>
              <w:pStyle w:val="ListParagraph"/>
              <w:numPr>
                <w:ilvl w:val="0"/>
                <w:numId w:val="6"/>
              </w:numPr>
              <w:ind w:left="28"/>
              <w:jc w:val="both"/>
              <w:rPr>
                <w:sz w:val="22"/>
                <w:szCs w:val="22"/>
              </w:rPr>
            </w:pPr>
            <w:r>
              <w:rPr>
                <w:sz w:val="22"/>
                <w:szCs w:val="22"/>
              </w:rPr>
              <w:t xml:space="preserve">la această dată, se înregistrează un decalaj de aproximativ 3 luni față </w:t>
            </w:r>
            <w:r>
              <w:rPr>
                <w:sz w:val="22"/>
                <w:szCs w:val="22"/>
              </w:rPr>
              <w:t>de calendarul prevăzut de lege pentru implementarea aparatelor de marcat electronice fiscale cu jurnal electronic,</w:t>
            </w:r>
          </w:p>
          <w:p w:rsidR="000C57BF" w:rsidRDefault="007F79BB">
            <w:pPr>
              <w:pStyle w:val="ListParagraph"/>
              <w:numPr>
                <w:ilvl w:val="0"/>
                <w:numId w:val="6"/>
              </w:numPr>
              <w:ind w:left="28"/>
              <w:jc w:val="both"/>
              <w:rPr>
                <w:sz w:val="22"/>
                <w:szCs w:val="22"/>
              </w:rPr>
            </w:pPr>
            <w:r>
              <w:rPr>
                <w:sz w:val="22"/>
                <w:szCs w:val="22"/>
              </w:rPr>
              <w:t xml:space="preserve"> operatorii economici care au obligația să se doteze cu aparate de marcat electronice fiscale cu jurnal electronic la termenele prevăzute de </w:t>
            </w:r>
            <w:r>
              <w:rPr>
                <w:sz w:val="22"/>
                <w:szCs w:val="22"/>
              </w:rPr>
              <w:t>lege ( 1 iunie, respectiv 1 august 2018) riscă sancțiuni drastice pentru nerespectarea obligației, fără ca fapta să le fie imputabilă, la această dată noile aparate nefiind disponibile pe piață,</w:t>
            </w:r>
          </w:p>
          <w:p w:rsidR="000C57BF" w:rsidRDefault="007F79BB">
            <w:pPr>
              <w:tabs>
                <w:tab w:val="left" w:pos="993"/>
              </w:tabs>
              <w:jc w:val="both"/>
              <w:rPr>
                <w:sz w:val="22"/>
                <w:szCs w:val="22"/>
                <w:lang w:val="en-US"/>
              </w:rPr>
            </w:pPr>
            <w:r>
              <w:rPr>
                <w:sz w:val="22"/>
                <w:szCs w:val="22"/>
              </w:rPr>
              <w:t>se impune adoptarea unor măsuri, astfel încât, operatorii eco</w:t>
            </w:r>
            <w:r>
              <w:rPr>
                <w:sz w:val="22"/>
                <w:szCs w:val="22"/>
              </w:rPr>
              <w:t>nomici care nu au reușit să se doteze cu noile aparate de marcat, să poată utiliza aparatele pe care le au deja în dotare, sau chiar să poată cumpăra aparate vechi dacă este cazul, iar sancțiunile să nu poată fi aplicate în această  perioadă, după cum urme</w:t>
            </w:r>
            <w:r>
              <w:rPr>
                <w:sz w:val="22"/>
                <w:szCs w:val="22"/>
              </w:rPr>
              <w:t>ază</w:t>
            </w:r>
            <w:r>
              <w:rPr>
                <w:sz w:val="22"/>
                <w:szCs w:val="22"/>
                <w:lang w:val="en-US"/>
              </w:rPr>
              <w:t>:</w:t>
            </w:r>
          </w:p>
          <w:p w:rsidR="000C57BF" w:rsidRDefault="007F79BB">
            <w:pPr>
              <w:pStyle w:val="ListParagraph"/>
              <w:numPr>
                <w:ilvl w:val="0"/>
                <w:numId w:val="5"/>
              </w:numPr>
              <w:tabs>
                <w:tab w:val="left" w:pos="1012"/>
              </w:tabs>
              <w:ind w:left="20"/>
              <w:jc w:val="both"/>
              <w:rPr>
                <w:sz w:val="22"/>
                <w:szCs w:val="22"/>
              </w:rPr>
            </w:pPr>
            <w:r>
              <w:rPr>
                <w:sz w:val="22"/>
                <w:szCs w:val="22"/>
              </w:rPr>
              <w:t>Se amână aplicarea sancțiunii prevăzută la art. 11 alin.(1) lit. f)</w:t>
            </w:r>
            <w:r>
              <w:rPr>
                <w:rStyle w:val="FootnoteAnchor"/>
                <w:sz w:val="22"/>
                <w:szCs w:val="22"/>
              </w:rPr>
              <w:footnoteReference w:id="1"/>
            </w:r>
            <w:r>
              <w:rPr>
                <w:sz w:val="22"/>
                <w:szCs w:val="22"/>
              </w:rPr>
              <w:t xml:space="preserve"> din Ordonanţa de urgenţă a Guvernului nr. 28/1999,  până la data de 1 septembrie 2018 în cazul operatorilor economici care au calitatea </w:t>
            </w:r>
            <w:r>
              <w:rPr>
                <w:sz w:val="22"/>
                <w:szCs w:val="22"/>
              </w:rPr>
              <w:lastRenderedPageBreak/>
              <w:t xml:space="preserve">de contribuabili mari sau mijlocii, respectiv </w:t>
            </w:r>
            <w:r>
              <w:rPr>
                <w:sz w:val="22"/>
                <w:szCs w:val="22"/>
              </w:rPr>
              <w:t xml:space="preserve">până la data de 1 noiembrie 2018 în cazul operatorilor economici care au calitatea de contribuabili mici. </w:t>
            </w:r>
          </w:p>
          <w:p w:rsidR="000C57BF" w:rsidRDefault="007F79BB">
            <w:pPr>
              <w:pStyle w:val="ListParagraph"/>
              <w:tabs>
                <w:tab w:val="left" w:pos="1012"/>
              </w:tabs>
              <w:ind w:left="0" w:firstLine="587"/>
              <w:jc w:val="both"/>
              <w:rPr>
                <w:sz w:val="22"/>
                <w:szCs w:val="22"/>
              </w:rPr>
            </w:pPr>
            <w:r>
              <w:rPr>
                <w:sz w:val="22"/>
                <w:szCs w:val="22"/>
              </w:rPr>
              <w:t xml:space="preserve"> După expirarea acestor intervale, sancțiunea poate fi aplicată doar pentru faptele săvârșite începând  cu data de 1 septembrie 2018, respectiv 1 </w:t>
            </w:r>
            <w:r>
              <w:rPr>
                <w:sz w:val="22"/>
                <w:szCs w:val="22"/>
              </w:rPr>
              <w:t>noiembrie 2018, după caz.</w:t>
            </w:r>
          </w:p>
          <w:p w:rsidR="000C57BF" w:rsidRDefault="007F79BB">
            <w:pPr>
              <w:pStyle w:val="ListParagraph"/>
              <w:tabs>
                <w:tab w:val="left" w:pos="1012"/>
              </w:tabs>
              <w:ind w:left="0" w:firstLine="587"/>
              <w:jc w:val="both"/>
              <w:rPr>
                <w:sz w:val="22"/>
                <w:szCs w:val="22"/>
                <w:lang w:val="en-US"/>
              </w:rPr>
            </w:pPr>
            <w:r>
              <w:rPr>
                <w:sz w:val="22"/>
                <w:szCs w:val="22"/>
                <w:lang w:val="en-US"/>
              </w:rPr>
              <w:t>Măsura are în vedere amânarea cu trei luni a aplicării sancțiunii prevăzută de lege  pentru nedotarea cu noile aparate de marcat ( raportat la termenele obligatorii de dotare în vigoare la această data), pentru a permite operatori</w:t>
            </w:r>
            <w:r>
              <w:rPr>
                <w:sz w:val="22"/>
                <w:szCs w:val="22"/>
                <w:lang w:val="en-US"/>
              </w:rPr>
              <w:t>lor economici să achiziționeze, fiscalizeze și să testeze aparatele de marcat cu jurnal electronic.</w:t>
            </w:r>
          </w:p>
          <w:p w:rsidR="000C57BF" w:rsidRDefault="007F79BB">
            <w:pPr>
              <w:pStyle w:val="ListParagraph"/>
              <w:numPr>
                <w:ilvl w:val="0"/>
                <w:numId w:val="5"/>
              </w:numPr>
              <w:tabs>
                <w:tab w:val="left" w:pos="1006"/>
              </w:tabs>
              <w:ind w:left="0"/>
              <w:jc w:val="both"/>
              <w:rPr>
                <w:sz w:val="22"/>
                <w:szCs w:val="22"/>
                <w:lang w:val="en-US"/>
              </w:rPr>
            </w:pPr>
            <w:r>
              <w:rPr>
                <w:sz w:val="22"/>
                <w:szCs w:val="22"/>
                <w:lang w:val="en-US"/>
              </w:rPr>
              <w:t>Se amână aplicarea sancțiunii prevăzută la art. 11 alin. (1) lit.h)</w:t>
            </w:r>
            <w:r>
              <w:rPr>
                <w:rStyle w:val="FootnoteAnchor"/>
                <w:sz w:val="22"/>
                <w:szCs w:val="22"/>
                <w:lang w:val="en-US"/>
              </w:rPr>
              <w:footnoteReference w:id="2"/>
            </w:r>
            <w:r>
              <w:rPr>
                <w:sz w:val="22"/>
                <w:szCs w:val="22"/>
                <w:lang w:val="en-US"/>
              </w:rPr>
              <w:t xml:space="preserve"> din Ordonanţa de urgenţă a Guvernului nr. 28/1999 până la data de 1 noiembrie 2018. </w:t>
            </w:r>
          </w:p>
          <w:p w:rsidR="000C57BF" w:rsidRDefault="007F79BB">
            <w:pPr>
              <w:pStyle w:val="ListParagraph"/>
              <w:ind w:left="0" w:firstLine="445"/>
              <w:jc w:val="both"/>
              <w:rPr>
                <w:sz w:val="22"/>
                <w:szCs w:val="22"/>
                <w:lang w:val="en-US"/>
              </w:rPr>
            </w:pPr>
            <w:r>
              <w:rPr>
                <w:sz w:val="22"/>
                <w:szCs w:val="22"/>
                <w:lang w:val="en-US"/>
              </w:rPr>
              <w:t>Du</w:t>
            </w:r>
            <w:r>
              <w:rPr>
                <w:sz w:val="22"/>
                <w:szCs w:val="22"/>
                <w:lang w:val="en-US"/>
              </w:rPr>
              <w:t>pă expirarea acestui interval, sancțiunea poate fi aplicată  doar pentru faptele săvârșite  începând cu data de 1 noiembrie 2018.</w:t>
            </w:r>
          </w:p>
          <w:p w:rsidR="000C57BF" w:rsidRDefault="007F79BB">
            <w:pPr>
              <w:pStyle w:val="ListParagraph"/>
              <w:ind w:left="0"/>
              <w:jc w:val="both"/>
              <w:rPr>
                <w:sz w:val="22"/>
                <w:szCs w:val="22"/>
                <w:lang w:val="en-US"/>
              </w:rPr>
            </w:pPr>
            <w:r>
              <w:rPr>
                <w:sz w:val="22"/>
                <w:szCs w:val="22"/>
                <w:lang w:val="en-US"/>
              </w:rPr>
              <w:t xml:space="preserve">       Măsura are în vedere amânarea aplicării cu trei luni ( termenul în vigoare este 1 august 2018) a  sancțiunii prevăzută </w:t>
            </w:r>
            <w:r>
              <w:rPr>
                <w:sz w:val="22"/>
                <w:szCs w:val="22"/>
                <w:lang w:val="en-US"/>
              </w:rPr>
              <w:t>de lege pentru comercializarea de către distribuitorii autorizaţi sau de către unităţile din reţeaua acestora acreditate pentru comercializare, a aparatelor de marcat electronice fiscale cu rolă jurnal ( aparate vechi), astfel încât, dacă va fi cazul, oper</w:t>
            </w:r>
            <w:r>
              <w:rPr>
                <w:sz w:val="22"/>
                <w:szCs w:val="22"/>
                <w:lang w:val="en-US"/>
              </w:rPr>
              <w:t>atorii economici care deschid noi afaceri sau puncte de lucru,</w:t>
            </w:r>
            <w:r>
              <w:rPr>
                <w:sz w:val="22"/>
                <w:szCs w:val="22"/>
              </w:rPr>
              <w:t xml:space="preserve"> </w:t>
            </w:r>
            <w:r>
              <w:rPr>
                <w:sz w:val="22"/>
                <w:szCs w:val="22"/>
                <w:lang w:val="en-US"/>
              </w:rPr>
              <w:t>să  poată achiziționa totuși un aparat de marcat, în caz contrar aceștia riscând blocarea activității.</w:t>
            </w:r>
          </w:p>
          <w:p w:rsidR="000C57BF" w:rsidRDefault="007F79BB">
            <w:pPr>
              <w:pStyle w:val="ListParagraph"/>
              <w:numPr>
                <w:ilvl w:val="0"/>
                <w:numId w:val="5"/>
              </w:numPr>
              <w:ind w:left="20"/>
              <w:jc w:val="both"/>
              <w:rPr>
                <w:sz w:val="22"/>
                <w:szCs w:val="22"/>
                <w:lang w:val="en-US"/>
              </w:rPr>
            </w:pPr>
            <w:r>
              <w:rPr>
                <w:sz w:val="22"/>
                <w:szCs w:val="22"/>
                <w:lang w:val="en-US"/>
              </w:rPr>
              <w:t>Se prelungește cu trei luni, până la data de 31 octombrie 2018 termenul limită până la car</w:t>
            </w:r>
            <w:r>
              <w:rPr>
                <w:sz w:val="22"/>
                <w:szCs w:val="22"/>
                <w:lang w:val="en-US"/>
              </w:rPr>
              <w:t>e își mențin valabilitatea avizele/autorizațiile privind distribuția aparatelor de marcat electronice fiscale dotate cu rolă jurnal  ( termenul în vigoare este  31 iulie 2018).</w:t>
            </w:r>
          </w:p>
          <w:p w:rsidR="000C57BF" w:rsidRDefault="007F79BB">
            <w:pPr>
              <w:pStyle w:val="ListParagraph"/>
              <w:ind w:left="0" w:firstLine="445"/>
              <w:jc w:val="both"/>
              <w:rPr>
                <w:sz w:val="22"/>
                <w:szCs w:val="22"/>
                <w:lang w:val="en-US"/>
              </w:rPr>
            </w:pPr>
            <w:r>
              <w:rPr>
                <w:sz w:val="22"/>
                <w:szCs w:val="22"/>
                <w:lang w:val="en-US"/>
              </w:rPr>
              <w:t>Măsura are în vedere să asigure distribuitorilor autorizați în prezent, posibil</w:t>
            </w:r>
            <w:r>
              <w:rPr>
                <w:sz w:val="22"/>
                <w:szCs w:val="22"/>
                <w:lang w:val="en-US"/>
              </w:rPr>
              <w:t>itatea de a aplica pentru prelungirea valabilității avizelor/autorizațiilor și este corelată cu amânarea aplicării sancțiunii prevăzută de lege pentru comercializarea aparatelor de marcat vechi.</w:t>
            </w:r>
          </w:p>
          <w:p w:rsidR="000C57BF" w:rsidRDefault="007F79BB">
            <w:pPr>
              <w:pStyle w:val="ListParagraph"/>
              <w:ind w:left="0" w:firstLine="445"/>
              <w:jc w:val="both"/>
              <w:rPr>
                <w:sz w:val="22"/>
                <w:szCs w:val="22"/>
                <w:lang w:val="en-US"/>
              </w:rPr>
            </w:pPr>
            <w:r>
              <w:rPr>
                <w:sz w:val="22"/>
                <w:szCs w:val="22"/>
                <w:lang w:val="en-US"/>
              </w:rPr>
              <w:t>În această perioadă de grație  de 3 luni, organele de control</w:t>
            </w:r>
            <w:r>
              <w:rPr>
                <w:sz w:val="22"/>
                <w:szCs w:val="22"/>
                <w:lang w:val="en-US"/>
              </w:rPr>
              <w:t xml:space="preserve">  urmează să realizeze acțiuni cu caracter preventiv și de îndrumare, în baza art. 151 alin.(4) din Legea nr.207/2015 privind Codul de procedură fiscală.</w:t>
            </w:r>
          </w:p>
          <w:p w:rsidR="000C57BF" w:rsidRDefault="007F79BB">
            <w:pPr>
              <w:tabs>
                <w:tab w:val="left" w:pos="0"/>
                <w:tab w:val="left" w:pos="426"/>
              </w:tabs>
              <w:suppressAutoHyphens w:val="0"/>
              <w:spacing w:before="120" w:after="120"/>
              <w:jc w:val="both"/>
              <w:rPr>
                <w:bCs/>
                <w:sz w:val="22"/>
                <w:szCs w:val="22"/>
                <w:u w:val="single"/>
              </w:rPr>
            </w:pPr>
            <w:r>
              <w:rPr>
                <w:b/>
                <w:bCs/>
                <w:sz w:val="22"/>
                <w:szCs w:val="22"/>
              </w:rPr>
              <w:t xml:space="preserve">B. </w:t>
            </w:r>
            <w:r>
              <w:rPr>
                <w:bCs/>
                <w:sz w:val="22"/>
                <w:szCs w:val="22"/>
                <w:u w:val="single"/>
              </w:rPr>
              <w:t xml:space="preserve">Modificările legislative propuse a fi aduse OUG nr. 64/2007 prin prezentul proiect de Ordonanță de </w:t>
            </w:r>
            <w:r>
              <w:rPr>
                <w:bCs/>
                <w:sz w:val="22"/>
                <w:szCs w:val="22"/>
                <w:u w:val="single"/>
              </w:rPr>
              <w:t>urgență sunt prezentate în continuare:</w:t>
            </w:r>
          </w:p>
          <w:p w:rsidR="000C57BF" w:rsidRDefault="007F79BB">
            <w:pPr>
              <w:pStyle w:val="DefaultText"/>
              <w:numPr>
                <w:ilvl w:val="0"/>
                <w:numId w:val="8"/>
              </w:numPr>
              <w:jc w:val="both"/>
              <w:rPr>
                <w:sz w:val="22"/>
                <w:szCs w:val="22"/>
                <w:lang w:val="ro-RO"/>
              </w:rPr>
            </w:pPr>
            <w:r>
              <w:rPr>
                <w:sz w:val="22"/>
                <w:szCs w:val="22"/>
                <w:lang w:val="ro-RO"/>
              </w:rPr>
              <w:t>Se autorizează Compania Naţională Poşta Română S.A să intermedieze vânzarea, colectarea subscrierilor şi efectuarea plăţilor aferente emisiunilor de titluri de stat destinate populaţiei. Mecanismul de derulare și flux</w:t>
            </w:r>
            <w:r>
              <w:rPr>
                <w:sz w:val="22"/>
                <w:szCs w:val="22"/>
                <w:lang w:val="ro-RO"/>
              </w:rPr>
              <w:t>urile  aferente acestor activități vor fi prevăzute prin norme aprobate prin ordin comun al ministrului finanţelor publice şi al ministrului comunicaţiilor.</w:t>
            </w:r>
          </w:p>
          <w:p w:rsidR="000C57BF" w:rsidRDefault="007F79BB">
            <w:pPr>
              <w:pStyle w:val="DefaultText"/>
              <w:ind w:left="360"/>
              <w:jc w:val="both"/>
              <w:rPr>
                <w:sz w:val="22"/>
                <w:szCs w:val="22"/>
                <w:lang w:val="ro-RO"/>
              </w:rPr>
            </w:pPr>
            <w:r>
              <w:rPr>
                <w:sz w:val="22"/>
                <w:szCs w:val="22"/>
                <w:lang w:val="ro-RO"/>
              </w:rPr>
              <w:t xml:space="preserve">De asemenea, sunt incluse prevederi privind obligativitatea Companiei Naționale Poșta Română de a </w:t>
            </w:r>
            <w:r>
              <w:rPr>
                <w:sz w:val="22"/>
                <w:szCs w:val="22"/>
                <w:lang w:val="ro-RO"/>
              </w:rPr>
              <w:t xml:space="preserve">vira în contul Ministerului Finanțelor Publice sumele rezultate din vânzarea </w:t>
            </w:r>
            <w:r>
              <w:rPr>
                <w:sz w:val="22"/>
                <w:szCs w:val="22"/>
                <w:lang w:val="ro-RO"/>
              </w:rPr>
              <w:lastRenderedPageBreak/>
              <w:t>titlurilor de stat în termen de cel mult de 2 zile lucrătoare de la data încasării sumelor aferente subscrierii. Eventuale sume în plus care sunt virate eronat vor fi restituite l</w:t>
            </w:r>
            <w:r>
              <w:rPr>
                <w:sz w:val="22"/>
                <w:szCs w:val="22"/>
                <w:lang w:val="ro-RO"/>
              </w:rPr>
              <w:t xml:space="preserve">a solicitarea Companiei Naționale Poșta Română, întreaga răspundere pentru sumele solicitate revenindu-i acesteia din urmă. Indiferent dacă persoanele fizice aleg să subscrie atât prin intermediul unităților operative ale Trezoreriei Statului, cât și prin </w:t>
            </w:r>
            <w:r>
              <w:rPr>
                <w:sz w:val="22"/>
                <w:szCs w:val="22"/>
                <w:lang w:val="ro-RO"/>
              </w:rPr>
              <w:t>alte entități, de exemplu Compania Națională Poșta Română, suma maximă care poate fi subscrisă de către o persoană fizică la un moment nu poate depăşi suma maximăcare va fi comunicată de Ministerul Finanțelor Publice prin prospectul de emisiune.</w:t>
            </w:r>
          </w:p>
          <w:p w:rsidR="000C57BF" w:rsidRDefault="007F79BB">
            <w:pPr>
              <w:pStyle w:val="DefaultText"/>
              <w:numPr>
                <w:ilvl w:val="0"/>
                <w:numId w:val="8"/>
              </w:numPr>
              <w:jc w:val="both"/>
              <w:rPr>
                <w:sz w:val="22"/>
                <w:szCs w:val="22"/>
                <w:lang w:val="ro-RO"/>
              </w:rPr>
            </w:pPr>
            <w:r>
              <w:rPr>
                <w:sz w:val="22"/>
                <w:szCs w:val="22"/>
                <w:lang w:val="ro-RO"/>
              </w:rPr>
              <w:t>C.N. „Poșt</w:t>
            </w:r>
            <w:r>
              <w:rPr>
                <w:sz w:val="22"/>
                <w:szCs w:val="22"/>
                <w:lang w:val="ro-RO"/>
              </w:rPr>
              <w:t xml:space="preserve">a Româna” S.A. a fost desemnată încă din anul 2009, ca urmare a mai multor proceduri de selecție de-a lungul timpului, în calitate de furnizor de serviciu universal în domeniul serviciilor poștale.Un criteriu decisiv în acest sens l-a constituit faptul ca </w:t>
            </w:r>
            <w:r>
              <w:rPr>
                <w:sz w:val="22"/>
                <w:szCs w:val="22"/>
                <w:lang w:val="ro-RO"/>
              </w:rPr>
              <w:t>C.N. „Poșta Română” S.A. deținea cel mai mare grad de acoperire la nivel național, asigurând și un anumit grad de densitate a punctelor de acces, fiind astfel în măsură să îndeplinească cerințele legate de furnizarea serviciilor din sfera serviciului unive</w:t>
            </w:r>
            <w:r>
              <w:rPr>
                <w:sz w:val="22"/>
                <w:szCs w:val="22"/>
                <w:lang w:val="ro-RO"/>
              </w:rPr>
              <w:t xml:space="preserve">rsal pentru toți cetățenii României. </w:t>
            </w:r>
          </w:p>
          <w:p w:rsidR="000C57BF" w:rsidRDefault="007F79BB">
            <w:pPr>
              <w:pStyle w:val="DefaultText"/>
              <w:ind w:left="360"/>
              <w:jc w:val="both"/>
              <w:rPr>
                <w:sz w:val="22"/>
                <w:szCs w:val="22"/>
                <w:lang w:val="ro-RO"/>
              </w:rPr>
            </w:pPr>
            <w:r>
              <w:rPr>
                <w:sz w:val="22"/>
                <w:szCs w:val="22"/>
                <w:lang w:val="ro-RO"/>
              </w:rPr>
              <w:t>În această calitate, C.N. „Poșta Română” S.A. pe lângă alte obligații legate de cerințele de calitate a serviciilor, de densitatea punctelor de acces deservite de personal și de programul de lucru aferent acestora, are</w:t>
            </w:r>
            <w:r>
              <w:rPr>
                <w:sz w:val="22"/>
                <w:szCs w:val="22"/>
                <w:lang w:val="ro-RO"/>
              </w:rPr>
              <w:t xml:space="preserve"> și obligația de a lua toate măsurile necesare pentru asigurarea securității poștale, în special în ceea ce privește:</w:t>
            </w:r>
          </w:p>
          <w:p w:rsidR="000C57BF" w:rsidRDefault="007F79BB">
            <w:pPr>
              <w:pStyle w:val="NormalWeb"/>
              <w:spacing w:after="0"/>
              <w:ind w:left="360"/>
              <w:jc w:val="both"/>
              <w:rPr>
                <w:sz w:val="22"/>
                <w:szCs w:val="22"/>
              </w:rPr>
            </w:pPr>
            <w:r>
              <w:rPr>
                <w:sz w:val="22"/>
                <w:szCs w:val="22"/>
              </w:rPr>
              <w:t>a) securitatea rețelei poștale publice;</w:t>
            </w:r>
          </w:p>
          <w:p w:rsidR="000C57BF" w:rsidRDefault="007F79BB">
            <w:pPr>
              <w:pStyle w:val="NormalWeb"/>
              <w:spacing w:after="0"/>
              <w:ind w:left="360"/>
              <w:jc w:val="both"/>
              <w:rPr>
                <w:sz w:val="22"/>
                <w:szCs w:val="22"/>
              </w:rPr>
            </w:pPr>
            <w:r>
              <w:rPr>
                <w:sz w:val="22"/>
                <w:szCs w:val="22"/>
              </w:rPr>
              <w:t>b) securitatea instalațiilor poștale;</w:t>
            </w:r>
          </w:p>
          <w:p w:rsidR="000C57BF" w:rsidRDefault="007F79BB">
            <w:pPr>
              <w:pStyle w:val="NormalWeb"/>
              <w:spacing w:after="0"/>
              <w:ind w:left="360"/>
              <w:jc w:val="both"/>
              <w:rPr>
                <w:sz w:val="22"/>
                <w:szCs w:val="22"/>
              </w:rPr>
            </w:pPr>
            <w:r>
              <w:rPr>
                <w:sz w:val="22"/>
                <w:szCs w:val="22"/>
              </w:rPr>
              <w:t>c) securitatea personalului;</w:t>
            </w:r>
          </w:p>
          <w:p w:rsidR="000C57BF" w:rsidRDefault="007F79BB">
            <w:pPr>
              <w:pStyle w:val="NormalWeb"/>
              <w:spacing w:after="0"/>
              <w:ind w:left="360"/>
              <w:jc w:val="both"/>
              <w:rPr>
                <w:sz w:val="22"/>
                <w:szCs w:val="22"/>
              </w:rPr>
            </w:pPr>
            <w:r>
              <w:rPr>
                <w:sz w:val="22"/>
                <w:szCs w:val="22"/>
              </w:rPr>
              <w:t xml:space="preserve">d) securitatea și integritatea </w:t>
            </w:r>
            <w:r>
              <w:rPr>
                <w:sz w:val="22"/>
                <w:szCs w:val="22"/>
              </w:rPr>
              <w:t>trimiterilor poştale;</w:t>
            </w:r>
          </w:p>
          <w:p w:rsidR="000C57BF" w:rsidRDefault="007F79BB">
            <w:pPr>
              <w:pStyle w:val="NormalWeb"/>
              <w:spacing w:after="0"/>
              <w:ind w:left="360"/>
              <w:jc w:val="both"/>
              <w:rPr>
                <w:sz w:val="22"/>
                <w:szCs w:val="22"/>
              </w:rPr>
            </w:pPr>
            <w:r>
              <w:rPr>
                <w:sz w:val="22"/>
                <w:szCs w:val="22"/>
              </w:rPr>
              <w:t>și de a asigura confidențialitatea operațiunilor desfășurate la punctele de acces deservite de personal.</w:t>
            </w:r>
          </w:p>
          <w:p w:rsidR="000C57BF" w:rsidRDefault="007F79BB">
            <w:pPr>
              <w:pStyle w:val="NormalWeb"/>
              <w:spacing w:after="0"/>
              <w:ind w:left="360"/>
              <w:jc w:val="both"/>
              <w:rPr>
                <w:sz w:val="22"/>
                <w:szCs w:val="22"/>
              </w:rPr>
            </w:pPr>
            <w:r>
              <w:rPr>
                <w:sz w:val="22"/>
                <w:szCs w:val="22"/>
              </w:rPr>
              <w:t xml:space="preserve">Totodata, de peste 150 ani, C.N. „Poșta Română” S.A. asigură pe întreg teritoriul național în condiții de calitate, prestarea de </w:t>
            </w:r>
            <w:r>
              <w:rPr>
                <w:sz w:val="22"/>
                <w:szCs w:val="22"/>
              </w:rPr>
              <w:t>diverse servicii, nu numai poștale, și anume:</w:t>
            </w:r>
          </w:p>
          <w:p w:rsidR="000C57BF" w:rsidRDefault="007F79BB">
            <w:pPr>
              <w:pStyle w:val="NormalWeb"/>
              <w:spacing w:after="0"/>
              <w:ind w:left="360"/>
              <w:jc w:val="both"/>
              <w:rPr>
                <w:sz w:val="22"/>
                <w:szCs w:val="22"/>
              </w:rPr>
            </w:pPr>
            <w:r>
              <w:rPr>
                <w:sz w:val="22"/>
                <w:szCs w:val="22"/>
              </w:rPr>
              <w:t>a) distribuirea drepturilor de asigurări sociale și a altor drepturi cum ar fi ajutorul de șomaj, alocațiile;</w:t>
            </w:r>
          </w:p>
          <w:p w:rsidR="000C57BF" w:rsidRDefault="007F79BB">
            <w:pPr>
              <w:pStyle w:val="NormalWeb"/>
              <w:spacing w:after="0"/>
              <w:ind w:left="360"/>
              <w:jc w:val="both"/>
              <w:rPr>
                <w:sz w:val="22"/>
                <w:szCs w:val="22"/>
              </w:rPr>
            </w:pPr>
            <w:r>
              <w:rPr>
                <w:sz w:val="22"/>
                <w:szCs w:val="22"/>
              </w:rPr>
              <w:t>b) colectarea numerarului, încasarea ratelor de credite, achitarea de împrumuturi bancare, plata fac</w:t>
            </w:r>
            <w:r>
              <w:rPr>
                <w:sz w:val="22"/>
                <w:szCs w:val="22"/>
              </w:rPr>
              <w:t>turilor, colectarea taxelor;</w:t>
            </w:r>
          </w:p>
          <w:p w:rsidR="000C57BF" w:rsidRDefault="007F79BB">
            <w:pPr>
              <w:pStyle w:val="NormalWeb"/>
              <w:spacing w:after="0"/>
              <w:ind w:left="360"/>
              <w:jc w:val="both"/>
              <w:rPr>
                <w:sz w:val="22"/>
                <w:szCs w:val="22"/>
              </w:rPr>
            </w:pPr>
            <w:r>
              <w:rPr>
                <w:sz w:val="22"/>
                <w:szCs w:val="22"/>
              </w:rPr>
              <w:t xml:space="preserve">c) servicii de transferuri de bani prin platformele diverșilor parteneri și activitate de Broker de asigurări etc. </w:t>
            </w:r>
          </w:p>
          <w:p w:rsidR="000C57BF" w:rsidRDefault="007F79BB">
            <w:pPr>
              <w:pStyle w:val="NormalWeb"/>
              <w:spacing w:after="0"/>
              <w:jc w:val="both"/>
              <w:rPr>
                <w:sz w:val="22"/>
                <w:szCs w:val="22"/>
              </w:rPr>
            </w:pPr>
            <w:r>
              <w:rPr>
                <w:sz w:val="22"/>
                <w:szCs w:val="22"/>
              </w:rPr>
              <w:t>În concluzie, C.N. „Poșta Română” S.A. prin cele peste 5.500 puncte de acces deservite de personal de care disp</w:t>
            </w:r>
            <w:r>
              <w:rPr>
                <w:sz w:val="22"/>
                <w:szCs w:val="22"/>
              </w:rPr>
              <w:t>une în prezent (din care peste 86% sunt organizate în mediul rural), asigură acoperirea întregului teritoriu al țării, inclusiv în zone rurale slab populate sau aflate în condiţii excepţionale din punct de vedere geografic, cu prestarea serviciilor poștale</w:t>
            </w:r>
            <w:r>
              <w:rPr>
                <w:sz w:val="22"/>
                <w:szCs w:val="22"/>
              </w:rPr>
              <w:t xml:space="preserve"> și non-poștale și poate asigura îndeplinirea cerințelor legate de efectuarea în condiții de securitate, siguranță și cu profesionalism prevederile Ordinului nr. 3139/2017 din 4 decembrie 2017 privind aprobarea emiterii titlurilor de stat destinate populaţ</w:t>
            </w:r>
            <w:r>
              <w:rPr>
                <w:sz w:val="22"/>
                <w:szCs w:val="22"/>
              </w:rPr>
              <w:t xml:space="preserve">iei, prin intermediul unităţilor operative ale Trezoreriei Statului. </w:t>
            </w:r>
          </w:p>
          <w:p w:rsidR="000C57BF" w:rsidRDefault="007F79BB">
            <w:pPr>
              <w:pStyle w:val="NormalWeb"/>
              <w:spacing w:after="0"/>
              <w:jc w:val="both"/>
              <w:rPr>
                <w:sz w:val="22"/>
                <w:szCs w:val="22"/>
              </w:rPr>
            </w:pPr>
            <w:r>
              <w:rPr>
                <w:sz w:val="22"/>
                <w:szCs w:val="22"/>
              </w:rPr>
              <w:t>Menționăm că și alte state ale Uniunii Europene distribuie titlurile de stat pentru populație prin intermediul rețelei oficiilor poștale, cum este de exemplu cazul Ungariei, persoanele f</w:t>
            </w:r>
            <w:r>
              <w:rPr>
                <w:sz w:val="22"/>
                <w:szCs w:val="22"/>
              </w:rPr>
              <w:t xml:space="preserve">izice având posibilitatea cumpărării titlurilor de stat prin intermediul celor aprox. 2800 oficii poștale.  </w:t>
            </w:r>
          </w:p>
          <w:p w:rsidR="000C57BF" w:rsidRDefault="007F79BB">
            <w:pPr>
              <w:pStyle w:val="DefaultText"/>
              <w:numPr>
                <w:ilvl w:val="0"/>
                <w:numId w:val="8"/>
              </w:numPr>
              <w:jc w:val="both"/>
              <w:rPr>
                <w:bCs/>
                <w:sz w:val="22"/>
                <w:szCs w:val="22"/>
                <w:lang w:val="ro-RO"/>
              </w:rPr>
            </w:pPr>
            <w:r>
              <w:rPr>
                <w:bCs/>
                <w:sz w:val="22"/>
                <w:szCs w:val="22"/>
                <w:lang w:val="ro-RO"/>
              </w:rPr>
              <w:lastRenderedPageBreak/>
              <w:t>În același timp, băncile care își exprimă interesul și care au capacitatea și experiența necesară pot participa la procesul de vânzare a titlurilor</w:t>
            </w:r>
            <w:r>
              <w:rPr>
                <w:bCs/>
                <w:sz w:val="22"/>
                <w:szCs w:val="22"/>
                <w:lang w:val="ro-RO"/>
              </w:rPr>
              <w:t xml:space="preserve"> de stat destinate populației. </w:t>
            </w:r>
          </w:p>
          <w:p w:rsidR="000C57BF" w:rsidRDefault="007F79BB">
            <w:pPr>
              <w:pStyle w:val="DefaultText"/>
              <w:ind w:left="360"/>
              <w:jc w:val="both"/>
              <w:rPr>
                <w:bCs/>
                <w:sz w:val="22"/>
                <w:szCs w:val="22"/>
                <w:lang w:val="ro-RO"/>
              </w:rPr>
            </w:pPr>
            <w:r>
              <w:rPr>
                <w:bCs/>
                <w:sz w:val="22"/>
                <w:szCs w:val="22"/>
                <w:lang w:val="ro-RO"/>
              </w:rPr>
              <w:t>Astfel, Ministerul Finanțelor Publice urmează să identifice potențialul interes şi să analize</w:t>
            </w:r>
            <w:r>
              <w:rPr>
                <w:bCs/>
                <w:sz w:val="22"/>
                <w:szCs w:val="22"/>
              </w:rPr>
              <w:t>ze</w:t>
            </w:r>
            <w:r>
              <w:rPr>
                <w:bCs/>
                <w:sz w:val="22"/>
                <w:szCs w:val="22"/>
                <w:lang w:val="ro-RO"/>
              </w:rPr>
              <w:t xml:space="preserve"> oportunitatea extinderii canalelor de distribuţie ale titlurilor de stat pentru populaţie şi prin intermediul altor entități,  c</w:t>
            </w:r>
            <w:r>
              <w:rPr>
                <w:bCs/>
                <w:sz w:val="22"/>
                <w:szCs w:val="22"/>
                <w:lang w:val="ro-RO"/>
              </w:rPr>
              <w:t>are au capacitatea şi experienţa necesară, şi care îndeplinesc cerinţele legate de asigurarea unui grad de acoperire corespunzător pe teritoriul României, inclusiv în mediul rural, şi cele privind securitatea tranzacţiilor şi a documentelor, precum şi a co</w:t>
            </w:r>
            <w:r>
              <w:rPr>
                <w:bCs/>
                <w:sz w:val="22"/>
                <w:szCs w:val="22"/>
                <w:lang w:val="ro-RO"/>
              </w:rPr>
              <w:t>nfidenţialităţii operaţiunilor derulate, cu respectarea etapelor necesare a fi parcurse în procesul de subscriere şi efectuare la scadenţă a obligaţiilor de plată către investitorii persoane fizice. Menționăm că din punct de vedere al reglementărilor în do</w:t>
            </w:r>
            <w:r>
              <w:rPr>
                <w:bCs/>
                <w:sz w:val="22"/>
                <w:szCs w:val="22"/>
                <w:lang w:val="ro-RO"/>
              </w:rPr>
              <w:t>meniul achizițiilor publice, aceste servicii sunt exceptate de la aplicarea procedurilor de achiziție publică, fiind  încadrate ca servicii financiare, Ministerul Finanțelor Publice urmând aplicarea unei proceduri de selecție proprie.</w:t>
            </w:r>
          </w:p>
          <w:p w:rsidR="000C57BF" w:rsidRDefault="007F79BB">
            <w:pPr>
              <w:pStyle w:val="DefaultText"/>
              <w:numPr>
                <w:ilvl w:val="0"/>
                <w:numId w:val="8"/>
              </w:numPr>
              <w:jc w:val="both"/>
              <w:rPr>
                <w:bCs/>
                <w:sz w:val="22"/>
                <w:szCs w:val="22"/>
                <w:lang w:val="ro-RO"/>
              </w:rPr>
            </w:pPr>
            <w:r>
              <w:rPr>
                <w:bCs/>
                <w:sz w:val="22"/>
                <w:szCs w:val="22"/>
                <w:lang w:val="ro-RO"/>
              </w:rPr>
              <w:t>În ceea ce privește o</w:t>
            </w:r>
            <w:r>
              <w:rPr>
                <w:bCs/>
                <w:sz w:val="22"/>
                <w:szCs w:val="22"/>
                <w:lang w:val="ro-RO"/>
              </w:rPr>
              <w:t xml:space="preserve">perațiunile de plată la scadență a sumelor reprezentând dobânzi și/sau principal pentru investitorii care au subscris prin intermediul </w:t>
            </w:r>
            <w:r>
              <w:rPr>
                <w:sz w:val="22"/>
                <w:szCs w:val="22"/>
                <w:lang w:val="ro-RO"/>
              </w:rPr>
              <w:t>Companiei Naționale Poșta Română SA</w:t>
            </w:r>
            <w:r>
              <w:rPr>
                <w:bCs/>
                <w:sz w:val="22"/>
                <w:szCs w:val="22"/>
                <w:lang w:val="ro-RO"/>
              </w:rPr>
              <w:t>, Ministerul Finanțelor Publice va asigura transferul sumelor solicitate în contul des</w:t>
            </w:r>
            <w:r>
              <w:rPr>
                <w:bCs/>
                <w:sz w:val="22"/>
                <w:szCs w:val="22"/>
                <w:lang w:val="ro-RO"/>
              </w:rPr>
              <w:t>chis la dispoziția acesteia la Trezoreria Statului, la momentul transferului fiind considerate îndeplinite obligațiile statului din perspectiva onorării serviciului datoriei publice guvernamentale.</w:t>
            </w:r>
          </w:p>
          <w:p w:rsidR="000C57BF" w:rsidRDefault="007F79BB">
            <w:pPr>
              <w:pStyle w:val="DefaultText"/>
              <w:numPr>
                <w:ilvl w:val="0"/>
                <w:numId w:val="8"/>
              </w:numPr>
              <w:jc w:val="both"/>
              <w:rPr>
                <w:sz w:val="22"/>
                <w:szCs w:val="22"/>
                <w:lang w:val="ro-RO"/>
              </w:rPr>
            </w:pPr>
            <w:r>
              <w:rPr>
                <w:bCs/>
                <w:sz w:val="22"/>
                <w:szCs w:val="22"/>
                <w:lang w:val="ro-RO"/>
              </w:rPr>
              <w:t xml:space="preserve">Pentru serviciile furnizate de </w:t>
            </w:r>
            <w:r>
              <w:rPr>
                <w:sz w:val="22"/>
                <w:szCs w:val="22"/>
                <w:lang w:val="ro-RO"/>
              </w:rPr>
              <w:t>Compania Națională Poșta Ro</w:t>
            </w:r>
            <w:r>
              <w:rPr>
                <w:sz w:val="22"/>
                <w:szCs w:val="22"/>
                <w:lang w:val="ro-RO"/>
              </w:rPr>
              <w:t>mână</w:t>
            </w:r>
            <w:r>
              <w:rPr>
                <w:bCs/>
                <w:sz w:val="22"/>
                <w:szCs w:val="22"/>
                <w:lang w:val="ro-RO"/>
              </w:rPr>
              <w:t xml:space="preserve"> și alte instituții financiare interesate, legate de </w:t>
            </w:r>
            <w:r>
              <w:rPr>
                <w:sz w:val="22"/>
                <w:szCs w:val="22"/>
                <w:lang w:val="ro-RO"/>
              </w:rPr>
              <w:t>activitatea de vânzare a titlurilor de stat pentru populație și pentru efectuarea la scadență a plăților de dobânzi și principal, Ministerul Finanțelor Publice va plăti, în termen de 30 zile de la pr</w:t>
            </w:r>
            <w:r>
              <w:rPr>
                <w:sz w:val="22"/>
                <w:szCs w:val="22"/>
                <w:lang w:val="ro-RO"/>
              </w:rPr>
              <w:t xml:space="preserve">imirea facturii, un comision de 0,1% aplicat la valoarea fiecărei emisiuni și respectiv de 0,1% aplicat la valoarea operațiunilor de plată efectuate. Menționăm că nivelul acestor comisioane se situează la nivelul celor plătite de către </w:t>
            </w:r>
            <w:r>
              <w:rPr>
                <w:bCs/>
                <w:sz w:val="22"/>
                <w:szCs w:val="22"/>
                <w:lang w:val="ro-RO"/>
              </w:rPr>
              <w:t>Ministerul Finanțelo</w:t>
            </w:r>
            <w:r>
              <w:rPr>
                <w:bCs/>
                <w:sz w:val="22"/>
                <w:szCs w:val="22"/>
                <w:lang w:val="ro-RO"/>
              </w:rPr>
              <w:t xml:space="preserve">r Publice </w:t>
            </w:r>
            <w:r>
              <w:rPr>
                <w:sz w:val="22"/>
                <w:szCs w:val="22"/>
                <w:lang w:val="ro-RO"/>
              </w:rPr>
              <w:t xml:space="preserve">pentru servicii similare terțelor entități care au intermediat emisiuni anterioare de titluri de stat pentru populație. </w:t>
            </w:r>
          </w:p>
          <w:p w:rsidR="000C57BF" w:rsidRDefault="007F79BB">
            <w:pPr>
              <w:pStyle w:val="ListParagraph"/>
              <w:numPr>
                <w:ilvl w:val="0"/>
                <w:numId w:val="8"/>
              </w:numPr>
              <w:spacing w:after="60"/>
              <w:ind w:right="124"/>
              <w:jc w:val="both"/>
              <w:rPr>
                <w:bCs/>
                <w:sz w:val="22"/>
                <w:szCs w:val="22"/>
              </w:rPr>
            </w:pPr>
            <w:r>
              <w:rPr>
                <w:bCs/>
                <w:sz w:val="22"/>
                <w:szCs w:val="22"/>
              </w:rPr>
              <w:t>Introducerea de completări prin care Ministerul Finanțelor Publice, în calitate de unic administrator al datoriei publice guvernamentale, are flexibilitatea necesară în alegerea instrumentelor de datorie publică guvernamentală și a momentului de atragere a</w:t>
            </w:r>
            <w:r>
              <w:rPr>
                <w:bCs/>
                <w:sz w:val="22"/>
                <w:szCs w:val="22"/>
              </w:rPr>
              <w:t xml:space="preserve"> resurselor financiare, în vederea finanțării deficitului bugetar și refinanțării datoriei publice. </w:t>
            </w:r>
          </w:p>
          <w:p w:rsidR="000C57BF" w:rsidRDefault="007F79BB">
            <w:pPr>
              <w:pStyle w:val="ListParagraph"/>
              <w:numPr>
                <w:ilvl w:val="0"/>
                <w:numId w:val="8"/>
              </w:numPr>
              <w:spacing w:after="60"/>
              <w:ind w:right="124"/>
              <w:jc w:val="both"/>
              <w:rPr>
                <w:bCs/>
                <w:sz w:val="22"/>
                <w:szCs w:val="22"/>
              </w:rPr>
            </w:pPr>
            <w:r>
              <w:rPr>
                <w:bCs/>
                <w:sz w:val="22"/>
                <w:szCs w:val="22"/>
              </w:rPr>
              <w:t xml:space="preserve">Introducerea unei completari referitoare la destinatia specială a sumelor aferente operațiunilor de vânzare și de plată a titlurilor de stat care nu sunt </w:t>
            </w:r>
            <w:r>
              <w:rPr>
                <w:bCs/>
                <w:sz w:val="22"/>
                <w:szCs w:val="22"/>
              </w:rPr>
              <w:t>supuse executării silite prin poprire, în sensul art. 781 alin. (5) lit. a) din Legea nr. 134/2010 privind Codul de procedură civilă, republicată, cu modificările ulterioare.</w:t>
            </w:r>
          </w:p>
          <w:p w:rsidR="000C57BF" w:rsidRDefault="007F79BB">
            <w:pPr>
              <w:jc w:val="both"/>
              <w:rPr>
                <w:bCs/>
                <w:sz w:val="22"/>
                <w:szCs w:val="22"/>
              </w:rPr>
            </w:pPr>
            <w:r>
              <w:rPr>
                <w:bCs/>
                <w:sz w:val="22"/>
                <w:szCs w:val="22"/>
              </w:rPr>
              <w:t>Considerăm că aspectele prezentate mai sus vizează interesul public și constituie</w:t>
            </w:r>
            <w:r>
              <w:rPr>
                <w:bCs/>
                <w:sz w:val="22"/>
                <w:szCs w:val="22"/>
              </w:rPr>
              <w:t xml:space="preserve"> situații de urgență și extraordinare a căror reglementare nu poate fi amânată, impunând adoptarea de măsuri imediate pe calea ordonanței.</w:t>
            </w:r>
          </w:p>
        </w:tc>
      </w:tr>
      <w:tr w:rsidR="000C57BF">
        <w:tc>
          <w:tcPr>
            <w:tcW w:w="34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lastRenderedPageBreak/>
              <w:t>3. Alte informaţii</w:t>
            </w:r>
          </w:p>
        </w:tc>
        <w:tc>
          <w:tcPr>
            <w:tcW w:w="6202" w:type="dxa"/>
            <w:gridSpan w:val="9"/>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Nu este cazul. </w:t>
            </w: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lastRenderedPageBreak/>
              <w:t>Secţiunea a 3-a</w:t>
            </w:r>
          </w:p>
          <w:p w:rsidR="000C57BF" w:rsidRDefault="007F79BB">
            <w:pPr>
              <w:jc w:val="center"/>
              <w:rPr>
                <w:b/>
                <w:bCs/>
                <w:i/>
                <w:iCs/>
                <w:sz w:val="22"/>
                <w:szCs w:val="22"/>
              </w:rPr>
            </w:pPr>
            <w:r>
              <w:rPr>
                <w:b/>
                <w:bCs/>
                <w:i/>
                <w:iCs/>
                <w:sz w:val="22"/>
                <w:szCs w:val="22"/>
              </w:rPr>
              <w:t>Impactul socioeconomic al proiectului de act normativ</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lastRenderedPageBreak/>
              <w:t xml:space="preserve">1. </w:t>
            </w:r>
            <w:r>
              <w:rPr>
                <w:bCs/>
                <w:iCs/>
                <w:sz w:val="22"/>
                <w:szCs w:val="22"/>
              </w:rPr>
              <w:t>Impactul macroeconomic</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1</w:t>
            </w:r>
            <w:r>
              <w:rPr>
                <w:bCs/>
                <w:iCs/>
                <w:sz w:val="22"/>
                <w:szCs w:val="22"/>
                <w:vertAlign w:val="superscript"/>
              </w:rPr>
              <w:t>1</w:t>
            </w:r>
            <w:r>
              <w:rPr>
                <w:bCs/>
                <w:iCs/>
                <w:sz w:val="22"/>
                <w:szCs w:val="22"/>
              </w:rPr>
              <w:t>. Impactul asupra mediului concurenţial şi domeniului ajutoarelor de stat</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p w:rsidR="000C57BF" w:rsidRDefault="007F79BB">
            <w:pPr>
              <w:jc w:val="both"/>
              <w:rPr>
                <w:bCs/>
                <w:sz w:val="22"/>
                <w:szCs w:val="22"/>
              </w:rPr>
            </w:pPr>
            <w:r>
              <w:rPr>
                <w:sz w:val="22"/>
                <w:szCs w:val="22"/>
              </w:rPr>
              <w:t xml:space="preserve">Modificările propuse urmăresc diversificarea canelelor de distribuție a titlurilor de stat pentru populație și flexibilizarea capacității MFP în calitate de unic </w:t>
            </w:r>
            <w:r>
              <w:rPr>
                <w:bCs/>
                <w:sz w:val="22"/>
                <w:szCs w:val="22"/>
              </w:rPr>
              <w:t>administrator al datoriei publice guvernamentale de a alege instrumentele de datorie publică g</w:t>
            </w:r>
            <w:r>
              <w:rPr>
                <w:bCs/>
                <w:sz w:val="22"/>
                <w:szCs w:val="22"/>
              </w:rPr>
              <w:t>uvernamentală și a momentului de atragere a resurselor financiare potrivit obiectivelor sale strategice în domeniu.</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 Impactul asupra mediului de afaceri</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Impactul este pozitiv întrucât se evită sancționarea operatorilor economici care au obligația să uti</w:t>
            </w:r>
            <w:r>
              <w:rPr>
                <w:sz w:val="22"/>
                <w:szCs w:val="22"/>
              </w:rPr>
              <w:t>lizeze aparate de marcat cu jurnal electronic de la 1 iunie, respectiv 1 august, făcând totodată posibilă dotarea cu aparate de marcat vechi în cazul operatorilor economici care își deschid noi afaceri sau puncte de lucru.</w:t>
            </w:r>
          </w:p>
          <w:p w:rsidR="000C57BF" w:rsidRDefault="007F79BB">
            <w:pPr>
              <w:jc w:val="both"/>
              <w:rPr>
                <w:sz w:val="22"/>
                <w:szCs w:val="22"/>
              </w:rPr>
            </w:pPr>
            <w:r>
              <w:rPr>
                <w:sz w:val="22"/>
                <w:szCs w:val="22"/>
              </w:rPr>
              <w:t>Impactul asupra mediului de aface</w:t>
            </w:r>
            <w:r>
              <w:rPr>
                <w:sz w:val="22"/>
                <w:szCs w:val="22"/>
              </w:rPr>
              <w:t>ri este indirect, dar pozitiv ca urmare a eficientizării procedurilor administrative ale instituțiilor publice implicate în aplicarea politicii naționale în domeniul datoriei publice guvernamentale.</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w:t>
            </w:r>
            <w:r>
              <w:rPr>
                <w:bCs/>
                <w:iCs/>
                <w:sz w:val="22"/>
                <w:szCs w:val="22"/>
                <w:vertAlign w:val="superscript"/>
              </w:rPr>
              <w:t>1</w:t>
            </w:r>
            <w:r>
              <w:rPr>
                <w:bCs/>
                <w:iCs/>
                <w:sz w:val="22"/>
                <w:szCs w:val="22"/>
              </w:rPr>
              <w:t>. Impactul asupra sarcinilor administrative</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 xml:space="preserve">Proiectul </w:t>
            </w:r>
            <w:r>
              <w:rPr>
                <w:sz w:val="22"/>
                <w:szCs w:val="22"/>
              </w:rPr>
              <w:t>de act normativ nu se referă la acest subiect.</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w:t>
            </w:r>
            <w:r>
              <w:rPr>
                <w:bCs/>
                <w:iCs/>
                <w:sz w:val="22"/>
                <w:szCs w:val="22"/>
                <w:vertAlign w:val="superscript"/>
              </w:rPr>
              <w:t>2</w:t>
            </w:r>
            <w:r>
              <w:rPr>
                <w:bCs/>
                <w:iCs/>
                <w:sz w:val="22"/>
                <w:szCs w:val="22"/>
              </w:rPr>
              <w:t>. Impactul asupra întreprinderilor mici și mijlocii</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Raportul testului IMM se avizează de către Grupul pentru evaluarea impactului economic al actelor normative asupra întreprinderilor mici şi mijlocii (GEIE</w:t>
            </w:r>
            <w:r>
              <w:rPr>
                <w:sz w:val="22"/>
                <w:szCs w:val="22"/>
              </w:rPr>
              <w:t>AN)</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3. Impactul social</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4. Impactul asupra mediului</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r w:rsidR="000C57BF">
        <w:tc>
          <w:tcPr>
            <w:tcW w:w="3646"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5. Alte informaţii</w:t>
            </w:r>
          </w:p>
        </w:tc>
        <w:tc>
          <w:tcPr>
            <w:tcW w:w="5996"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t xml:space="preserve">Secţiunea </w:t>
            </w:r>
            <w:r>
              <w:rPr>
                <w:b/>
                <w:bCs/>
                <w:i/>
                <w:iCs/>
                <w:sz w:val="22"/>
                <w:szCs w:val="22"/>
              </w:rPr>
              <w:t>a 4-a</w:t>
            </w:r>
          </w:p>
          <w:p w:rsidR="000C57BF" w:rsidRDefault="007F79BB">
            <w:pPr>
              <w:jc w:val="center"/>
              <w:rPr>
                <w:b/>
                <w:bCs/>
                <w:i/>
                <w:iCs/>
                <w:sz w:val="22"/>
                <w:szCs w:val="22"/>
              </w:rPr>
            </w:pPr>
            <w:r>
              <w:rPr>
                <w:b/>
                <w:bCs/>
                <w:i/>
                <w:iCs/>
                <w:sz w:val="22"/>
                <w:szCs w:val="22"/>
              </w:rPr>
              <w:t>Impactul financiar asupra bugetului general consolidat, atât pe termen scurt, pentru anul curent, cât şi pe termen lung (pe 5 ani)</w:t>
            </w: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numPr>
                <w:ilvl w:val="0"/>
                <w:numId w:val="1"/>
              </w:numPr>
              <w:jc w:val="center"/>
              <w:rPr>
                <w:bCs/>
                <w:iCs/>
                <w:sz w:val="22"/>
                <w:szCs w:val="22"/>
              </w:rPr>
            </w:pPr>
            <w:r>
              <w:rPr>
                <w:bCs/>
                <w:iCs/>
                <w:sz w:val="22"/>
                <w:szCs w:val="22"/>
              </w:rPr>
              <w:t>mii lei –</w:t>
            </w: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Indicatori</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Anul curent</w:t>
            </w:r>
          </w:p>
        </w:tc>
        <w:tc>
          <w:tcPr>
            <w:tcW w:w="40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Următorii 4 ani</w:t>
            </w: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Media pe 5 ani</w:t>
            </w: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1</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2</w:t>
            </w: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4</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5</w:t>
            </w: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6</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7</w:t>
            </w:r>
          </w:p>
        </w:tc>
      </w:tr>
      <w:tr w:rsidR="000C57BF">
        <w:trPr>
          <w:trHeight w:val="2620"/>
        </w:trPr>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bCs/>
                <w:iCs/>
                <w:sz w:val="22"/>
                <w:szCs w:val="22"/>
              </w:rPr>
              <w:t xml:space="preserve">1. Modificări ale veniturilor </w:t>
            </w:r>
            <w:r>
              <w:rPr>
                <w:bCs/>
                <w:iCs/>
                <w:sz w:val="22"/>
                <w:szCs w:val="22"/>
              </w:rPr>
              <w:t>bugetare, plus/minus, din care:</w:t>
            </w:r>
            <w:r>
              <w:rPr>
                <w:sz w:val="22"/>
                <w:szCs w:val="22"/>
              </w:rPr>
              <w:t xml:space="preserve"> </w:t>
            </w:r>
          </w:p>
          <w:p w:rsidR="000C57BF" w:rsidRDefault="007F79BB">
            <w:pPr>
              <w:jc w:val="both"/>
              <w:rPr>
                <w:bCs/>
                <w:iCs/>
                <w:sz w:val="22"/>
                <w:szCs w:val="22"/>
              </w:rPr>
            </w:pPr>
            <w:r>
              <w:rPr>
                <w:bCs/>
                <w:iCs/>
                <w:sz w:val="22"/>
                <w:szCs w:val="22"/>
              </w:rPr>
              <w:t>a) buget de stat, din acesta:</w:t>
            </w:r>
          </w:p>
          <w:p w:rsidR="000C57BF" w:rsidRDefault="007F79BB">
            <w:pPr>
              <w:jc w:val="both"/>
              <w:rPr>
                <w:bCs/>
                <w:iCs/>
                <w:sz w:val="22"/>
                <w:szCs w:val="22"/>
              </w:rPr>
            </w:pPr>
            <w:r>
              <w:rPr>
                <w:bCs/>
                <w:iCs/>
                <w:sz w:val="22"/>
                <w:szCs w:val="22"/>
              </w:rPr>
              <w:t>(i) impozit pe profit</w:t>
            </w:r>
          </w:p>
          <w:p w:rsidR="000C57BF" w:rsidRDefault="007F79BB">
            <w:pPr>
              <w:jc w:val="both"/>
              <w:rPr>
                <w:bCs/>
                <w:iCs/>
                <w:sz w:val="22"/>
                <w:szCs w:val="22"/>
              </w:rPr>
            </w:pPr>
            <w:r>
              <w:rPr>
                <w:bCs/>
                <w:iCs/>
                <w:sz w:val="22"/>
                <w:szCs w:val="22"/>
              </w:rPr>
              <w:t>(ii) impozit pe venit</w:t>
            </w:r>
          </w:p>
          <w:p w:rsidR="000C57BF" w:rsidRDefault="007F79BB">
            <w:pPr>
              <w:jc w:val="both"/>
              <w:rPr>
                <w:bCs/>
                <w:iCs/>
                <w:sz w:val="22"/>
                <w:szCs w:val="22"/>
              </w:rPr>
            </w:pPr>
            <w:r>
              <w:rPr>
                <w:bCs/>
                <w:iCs/>
                <w:sz w:val="22"/>
                <w:szCs w:val="22"/>
              </w:rPr>
              <w:t>b) bugete locale:</w:t>
            </w:r>
          </w:p>
          <w:p w:rsidR="000C57BF" w:rsidRDefault="007F79BB">
            <w:pPr>
              <w:jc w:val="both"/>
              <w:rPr>
                <w:bCs/>
                <w:iCs/>
                <w:sz w:val="22"/>
                <w:szCs w:val="22"/>
              </w:rPr>
            </w:pPr>
            <w:r>
              <w:rPr>
                <w:bCs/>
                <w:iCs/>
                <w:sz w:val="22"/>
                <w:szCs w:val="22"/>
              </w:rPr>
              <w:t>(i) impozit pe profit</w:t>
            </w:r>
          </w:p>
          <w:p w:rsidR="000C57BF" w:rsidRDefault="007F79BB">
            <w:pPr>
              <w:jc w:val="both"/>
              <w:rPr>
                <w:bCs/>
                <w:iCs/>
                <w:sz w:val="22"/>
                <w:szCs w:val="22"/>
              </w:rPr>
            </w:pPr>
            <w:r>
              <w:rPr>
                <w:bCs/>
                <w:iCs/>
                <w:sz w:val="22"/>
                <w:szCs w:val="22"/>
              </w:rPr>
              <w:t>c) bugetul asigurărilor sociale de stat:</w:t>
            </w:r>
          </w:p>
          <w:p w:rsidR="000C57BF" w:rsidRDefault="007F79BB">
            <w:pPr>
              <w:jc w:val="both"/>
              <w:rPr>
                <w:bCs/>
                <w:iCs/>
                <w:sz w:val="22"/>
                <w:szCs w:val="22"/>
              </w:rPr>
            </w:pPr>
            <w:r>
              <w:rPr>
                <w:bCs/>
                <w:iCs/>
                <w:sz w:val="22"/>
                <w:szCs w:val="22"/>
              </w:rPr>
              <w:t>(i) contribuţii de asigurări</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rPr>
                <w:b/>
                <w:bCs/>
                <w:iCs/>
                <w:sz w:val="22"/>
                <w:szCs w:val="22"/>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r>
      <w:tr w:rsidR="000C57BF">
        <w:trPr>
          <w:trHeight w:val="3109"/>
        </w:trPr>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lastRenderedPageBreak/>
              <w:t xml:space="preserve">2. Modificări ale cheltuielilor </w:t>
            </w:r>
            <w:r>
              <w:rPr>
                <w:bCs/>
                <w:iCs/>
                <w:sz w:val="22"/>
                <w:szCs w:val="22"/>
              </w:rPr>
              <w:t>bugetare, plus/minus, din care:</w:t>
            </w:r>
          </w:p>
          <w:p w:rsidR="000C57BF" w:rsidRDefault="007F79BB">
            <w:pPr>
              <w:jc w:val="both"/>
              <w:rPr>
                <w:bCs/>
                <w:iCs/>
                <w:sz w:val="22"/>
                <w:szCs w:val="22"/>
              </w:rPr>
            </w:pPr>
            <w:r>
              <w:rPr>
                <w:bCs/>
                <w:iCs/>
                <w:sz w:val="22"/>
                <w:szCs w:val="22"/>
              </w:rPr>
              <w:t>a) buget de stat, din acesta:</w:t>
            </w:r>
          </w:p>
          <w:p w:rsidR="000C57BF" w:rsidRDefault="007F79BB">
            <w:pPr>
              <w:jc w:val="both"/>
              <w:rPr>
                <w:bCs/>
                <w:iCs/>
                <w:sz w:val="22"/>
                <w:szCs w:val="22"/>
              </w:rPr>
            </w:pPr>
            <w:r>
              <w:rPr>
                <w:bCs/>
                <w:iCs/>
                <w:sz w:val="22"/>
                <w:szCs w:val="22"/>
              </w:rPr>
              <w:t>(i) cheltuieli de personal</w:t>
            </w:r>
          </w:p>
          <w:p w:rsidR="000C57BF" w:rsidRDefault="007F79BB">
            <w:pPr>
              <w:jc w:val="both"/>
              <w:rPr>
                <w:bCs/>
                <w:iCs/>
                <w:sz w:val="22"/>
                <w:szCs w:val="22"/>
              </w:rPr>
            </w:pPr>
            <w:r>
              <w:rPr>
                <w:bCs/>
                <w:iCs/>
                <w:sz w:val="22"/>
                <w:szCs w:val="22"/>
              </w:rPr>
              <w:t>(ii) bunuri şi servicii</w:t>
            </w:r>
          </w:p>
          <w:p w:rsidR="000C57BF" w:rsidRDefault="007F79BB">
            <w:pPr>
              <w:jc w:val="both"/>
              <w:rPr>
                <w:bCs/>
                <w:iCs/>
                <w:sz w:val="22"/>
                <w:szCs w:val="22"/>
              </w:rPr>
            </w:pPr>
            <w:r>
              <w:rPr>
                <w:bCs/>
                <w:iCs/>
                <w:sz w:val="22"/>
                <w:szCs w:val="22"/>
              </w:rPr>
              <w:t>b) bugete locale</w:t>
            </w:r>
          </w:p>
          <w:p w:rsidR="000C57BF" w:rsidRDefault="007F79BB">
            <w:pPr>
              <w:jc w:val="both"/>
              <w:rPr>
                <w:bCs/>
                <w:iCs/>
                <w:sz w:val="22"/>
                <w:szCs w:val="22"/>
              </w:rPr>
            </w:pPr>
            <w:r>
              <w:rPr>
                <w:bCs/>
                <w:iCs/>
                <w:sz w:val="22"/>
                <w:szCs w:val="22"/>
              </w:rPr>
              <w:t>(i) cheltuieli de personal</w:t>
            </w:r>
          </w:p>
          <w:p w:rsidR="000C57BF" w:rsidRDefault="007F79BB">
            <w:pPr>
              <w:jc w:val="both"/>
              <w:rPr>
                <w:bCs/>
                <w:iCs/>
                <w:sz w:val="22"/>
                <w:szCs w:val="22"/>
              </w:rPr>
            </w:pPr>
            <w:r>
              <w:rPr>
                <w:bCs/>
                <w:iCs/>
                <w:sz w:val="22"/>
                <w:szCs w:val="22"/>
              </w:rPr>
              <w:t>(ii) bunuri şi servicii</w:t>
            </w:r>
          </w:p>
          <w:p w:rsidR="000C57BF" w:rsidRDefault="007F79BB">
            <w:pPr>
              <w:jc w:val="both"/>
              <w:rPr>
                <w:bCs/>
                <w:iCs/>
                <w:sz w:val="22"/>
                <w:szCs w:val="22"/>
              </w:rPr>
            </w:pPr>
            <w:r>
              <w:rPr>
                <w:bCs/>
                <w:iCs/>
                <w:sz w:val="22"/>
                <w:szCs w:val="22"/>
              </w:rPr>
              <w:t>c) bugetul asigurărilor sociale de stat:</w:t>
            </w:r>
          </w:p>
          <w:p w:rsidR="000C57BF" w:rsidRDefault="007F79BB">
            <w:pPr>
              <w:jc w:val="both"/>
              <w:rPr>
                <w:bCs/>
                <w:iCs/>
                <w:sz w:val="22"/>
                <w:szCs w:val="22"/>
              </w:rPr>
            </w:pPr>
            <w:r>
              <w:rPr>
                <w:bCs/>
                <w:iCs/>
                <w:sz w:val="22"/>
                <w:szCs w:val="22"/>
              </w:rPr>
              <w:t>(i) cheltuieli de personal</w:t>
            </w:r>
          </w:p>
          <w:p w:rsidR="000C57BF" w:rsidRDefault="007F79BB">
            <w:pPr>
              <w:jc w:val="both"/>
              <w:rPr>
                <w:bCs/>
                <w:iCs/>
                <w:sz w:val="22"/>
                <w:szCs w:val="22"/>
              </w:rPr>
            </w:pPr>
            <w:r>
              <w:rPr>
                <w:bCs/>
                <w:iCs/>
                <w:sz w:val="22"/>
                <w:szCs w:val="22"/>
              </w:rPr>
              <w:t xml:space="preserve">(ii) </w:t>
            </w:r>
            <w:r>
              <w:rPr>
                <w:bCs/>
                <w:iCs/>
                <w:sz w:val="22"/>
                <w:szCs w:val="22"/>
              </w:rPr>
              <w:t>bunuri şi servicii</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sz w:val="22"/>
                <w:szCs w:val="22"/>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sz w:val="22"/>
                <w:szCs w:val="22"/>
              </w:rPr>
            </w:pPr>
          </w:p>
        </w:tc>
      </w:tr>
      <w:tr w:rsidR="000C57BF">
        <w:trPr>
          <w:trHeight w:val="1288"/>
        </w:trPr>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3. Impact financiar, plus/minus, din care:</w:t>
            </w:r>
          </w:p>
          <w:p w:rsidR="000C57BF" w:rsidRDefault="007F79BB">
            <w:pPr>
              <w:jc w:val="both"/>
              <w:rPr>
                <w:bCs/>
                <w:iCs/>
                <w:sz w:val="22"/>
                <w:szCs w:val="22"/>
              </w:rPr>
            </w:pPr>
            <w:r>
              <w:rPr>
                <w:bCs/>
                <w:iCs/>
                <w:sz w:val="22"/>
                <w:szCs w:val="22"/>
              </w:rPr>
              <w:t>a) buget de stat</w:t>
            </w:r>
          </w:p>
          <w:p w:rsidR="000C57BF" w:rsidRDefault="007F79BB">
            <w:pPr>
              <w:jc w:val="both"/>
              <w:rPr>
                <w:bCs/>
                <w:iCs/>
                <w:sz w:val="22"/>
                <w:szCs w:val="22"/>
              </w:rPr>
            </w:pPr>
            <w:r>
              <w:rPr>
                <w:bCs/>
                <w:iCs/>
                <w:sz w:val="22"/>
                <w:szCs w:val="22"/>
              </w:rPr>
              <w:t>b) bugete locale</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Cs/>
                <w:iCs/>
                <w:sz w:val="22"/>
                <w:szCs w:val="22"/>
              </w:rPr>
            </w:pP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4. Propuneri pentru acoperirea creşterii cheltuielilor bugetare</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5. Propuneri pentru a compensa reducerea veniturilor bugetare</w:t>
            </w:r>
          </w:p>
        </w:tc>
        <w:tc>
          <w:tcPr>
            <w:tcW w:w="882"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6. </w:t>
            </w:r>
            <w:r>
              <w:rPr>
                <w:bCs/>
                <w:iCs/>
                <w:sz w:val="22"/>
                <w:szCs w:val="22"/>
              </w:rPr>
              <w:t>Calcule detaliate privind fundamentarea modificărilor veniturilor şi/sau cheltuielilor bugetare</w:t>
            </w:r>
          </w:p>
        </w:tc>
        <w:tc>
          <w:tcPr>
            <w:tcW w:w="6006" w:type="dxa"/>
            <w:gridSpan w:val="8"/>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r>
      <w:tr w:rsidR="000C57BF">
        <w:tc>
          <w:tcPr>
            <w:tcW w:w="363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7. Alte informaţii</w:t>
            </w:r>
          </w:p>
        </w:tc>
        <w:tc>
          <w:tcPr>
            <w:tcW w:w="6006" w:type="dxa"/>
            <w:gridSpan w:val="8"/>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Cs/>
                <w:sz w:val="22"/>
                <w:szCs w:val="22"/>
              </w:rPr>
            </w:pP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t>Secţiunea a 5-a</w:t>
            </w:r>
          </w:p>
          <w:p w:rsidR="000C57BF" w:rsidRDefault="007F79BB">
            <w:pPr>
              <w:jc w:val="center"/>
              <w:rPr>
                <w:b/>
                <w:bCs/>
                <w:i/>
                <w:iCs/>
                <w:sz w:val="22"/>
                <w:szCs w:val="22"/>
              </w:rPr>
            </w:pPr>
            <w:r>
              <w:rPr>
                <w:b/>
                <w:bCs/>
                <w:i/>
                <w:iCs/>
                <w:sz w:val="22"/>
                <w:szCs w:val="22"/>
              </w:rPr>
              <w:t>Efectele proiectului de act normativ asupra legislaţiei în vigoare</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1. Măsuri normative necesare pentru aplicarea </w:t>
            </w:r>
            <w:r>
              <w:rPr>
                <w:bCs/>
                <w:iCs/>
                <w:sz w:val="22"/>
                <w:szCs w:val="22"/>
              </w:rPr>
              <w:t>prevederilor proiectului de act normativ :</w:t>
            </w:r>
          </w:p>
          <w:p w:rsidR="000C57BF" w:rsidRDefault="007F79BB">
            <w:pPr>
              <w:jc w:val="both"/>
              <w:rPr>
                <w:bCs/>
                <w:iCs/>
                <w:sz w:val="22"/>
                <w:szCs w:val="22"/>
              </w:rPr>
            </w:pPr>
            <w:r>
              <w:rPr>
                <w:bCs/>
                <w:iCs/>
                <w:sz w:val="22"/>
                <w:szCs w:val="22"/>
              </w:rPr>
              <w:t xml:space="preserve">a) acte normative în vigoare ce vor fi modificate sau abrogate, ca urmare a intrării în vigoare a proiectului de act normativ </w:t>
            </w:r>
          </w:p>
          <w:p w:rsidR="000C57BF" w:rsidRDefault="007F79BB">
            <w:pPr>
              <w:jc w:val="both"/>
              <w:rPr>
                <w:bCs/>
                <w:iCs/>
                <w:sz w:val="22"/>
                <w:szCs w:val="22"/>
              </w:rPr>
            </w:pPr>
            <w:r>
              <w:rPr>
                <w:bCs/>
                <w:iCs/>
                <w:sz w:val="22"/>
                <w:szCs w:val="22"/>
              </w:rPr>
              <w:t>b) acte normative ce urmează a fi elaborate în vederea implementării noilor dispoziţii</w:t>
            </w:r>
            <w:r>
              <w:rPr>
                <w:bCs/>
                <w:iCs/>
                <w:sz w:val="22"/>
                <w:szCs w:val="22"/>
              </w:rPr>
              <w:t>.</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both"/>
              <w:rPr>
                <w:bCs/>
                <w:iCs/>
                <w:sz w:val="22"/>
                <w:szCs w:val="22"/>
              </w:rPr>
            </w:pPr>
          </w:p>
          <w:p w:rsidR="000C57BF" w:rsidRDefault="007F79BB">
            <w:pPr>
              <w:pStyle w:val="ListParagraph"/>
              <w:numPr>
                <w:ilvl w:val="0"/>
                <w:numId w:val="9"/>
              </w:numPr>
              <w:jc w:val="both"/>
              <w:rPr>
                <w:bCs/>
                <w:iCs/>
                <w:sz w:val="22"/>
                <w:szCs w:val="22"/>
                <w:lang w:val="en-US"/>
              </w:rPr>
            </w:pPr>
            <w:r>
              <w:rPr>
                <w:bCs/>
                <w:iCs/>
                <w:sz w:val="22"/>
                <w:szCs w:val="22"/>
                <w:lang w:val="en-US"/>
              </w:rPr>
              <w:t>Ordonanţa de urgenţă a Guvernului nr.28/1999 privind obligaţia operatorilor economici de a utiliza aparate de marcat electronice fiscale, republicată, cu modificările şi completările ulterioare.</w:t>
            </w:r>
          </w:p>
          <w:p w:rsidR="000C57BF" w:rsidRDefault="007F79BB">
            <w:pPr>
              <w:pStyle w:val="ListParagraph"/>
              <w:ind w:left="360"/>
              <w:jc w:val="both"/>
              <w:rPr>
                <w:sz w:val="22"/>
                <w:szCs w:val="22"/>
              </w:rPr>
            </w:pPr>
            <w:r>
              <w:rPr>
                <w:sz w:val="22"/>
                <w:szCs w:val="22"/>
              </w:rPr>
              <w:t>Se modifică prevederile OUG nr. 64/2007.</w:t>
            </w:r>
          </w:p>
          <w:p w:rsidR="000C57BF" w:rsidRDefault="000C57BF">
            <w:pPr>
              <w:jc w:val="both"/>
              <w:rPr>
                <w:bCs/>
                <w:iCs/>
                <w:sz w:val="22"/>
                <w:szCs w:val="22"/>
              </w:rPr>
            </w:pP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1</w:t>
            </w:r>
            <w:r>
              <w:rPr>
                <w:bCs/>
                <w:iCs/>
                <w:sz w:val="22"/>
                <w:szCs w:val="22"/>
                <w:vertAlign w:val="superscript"/>
              </w:rPr>
              <w:t>1</w:t>
            </w:r>
            <w:r>
              <w:rPr>
                <w:bCs/>
                <w:iCs/>
                <w:sz w:val="22"/>
                <w:szCs w:val="22"/>
              </w:rPr>
              <w:t xml:space="preserve">. </w:t>
            </w:r>
            <w:r>
              <w:rPr>
                <w:bCs/>
                <w:iCs/>
                <w:sz w:val="22"/>
                <w:szCs w:val="22"/>
              </w:rPr>
              <w:t>Compatibilitatea proiectului de act normativ cu legislaţia în domeniul achiziţiilor publice:</w:t>
            </w:r>
          </w:p>
          <w:p w:rsidR="000C57BF" w:rsidRDefault="007F79BB">
            <w:pPr>
              <w:jc w:val="both"/>
              <w:rPr>
                <w:bCs/>
                <w:iCs/>
                <w:sz w:val="22"/>
                <w:szCs w:val="22"/>
              </w:rPr>
            </w:pPr>
            <w:r>
              <w:rPr>
                <w:bCs/>
                <w:iCs/>
                <w:sz w:val="22"/>
                <w:szCs w:val="22"/>
              </w:rPr>
              <w:t>a) impact legislativ - prevederi de modificare şi completare a cadrului normativ în domeniul achiziţiilor publice, prevederi derogatorii;</w:t>
            </w:r>
          </w:p>
          <w:p w:rsidR="000C57BF" w:rsidRDefault="007F79BB">
            <w:pPr>
              <w:jc w:val="both"/>
              <w:rPr>
                <w:bCs/>
                <w:iCs/>
                <w:sz w:val="22"/>
                <w:szCs w:val="22"/>
              </w:rPr>
            </w:pPr>
            <w:r>
              <w:rPr>
                <w:bCs/>
                <w:iCs/>
                <w:sz w:val="22"/>
                <w:szCs w:val="22"/>
              </w:rPr>
              <w:t xml:space="preserve">b) norme cu impact la </w:t>
            </w:r>
            <w:r>
              <w:rPr>
                <w:bCs/>
                <w:iCs/>
                <w:sz w:val="22"/>
                <w:szCs w:val="22"/>
              </w:rPr>
              <w:t>nivel operaţional/tehnic - sisteme electronice utilizate în desfăşurarea procedurilor de achiziţie publică, unităţi centralizate de achiziţii publice, structură organizatorică internă a autorităţilor contractante.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bCs/>
                <w:iCs/>
                <w:sz w:val="22"/>
                <w:szCs w:val="22"/>
              </w:rPr>
              <w:t xml:space="preserve"> </w:t>
            </w:r>
            <w:r>
              <w:rPr>
                <w:sz w:val="22"/>
                <w:szCs w:val="22"/>
              </w:rPr>
              <w:t>Proiectul de act normativ nu se referă la</w:t>
            </w:r>
            <w:r>
              <w:rPr>
                <w:sz w:val="22"/>
                <w:szCs w:val="22"/>
              </w:rPr>
              <w:t xml:space="preserve"> acest subiect.</w:t>
            </w:r>
          </w:p>
          <w:p w:rsidR="000C57BF" w:rsidRDefault="000C57BF">
            <w:pPr>
              <w:jc w:val="both"/>
              <w:rPr>
                <w:bCs/>
                <w:iCs/>
                <w:sz w:val="22"/>
                <w:szCs w:val="22"/>
              </w:rPr>
            </w:pPr>
          </w:p>
          <w:p w:rsidR="000C57BF" w:rsidRDefault="000C57BF">
            <w:pPr>
              <w:jc w:val="both"/>
              <w:rPr>
                <w:bCs/>
                <w:iCs/>
                <w:sz w:val="22"/>
                <w:szCs w:val="22"/>
              </w:rPr>
            </w:pPr>
          </w:p>
          <w:p w:rsidR="000C57BF" w:rsidRDefault="000C57BF">
            <w:pPr>
              <w:jc w:val="both"/>
              <w:rPr>
                <w:bCs/>
                <w:iCs/>
                <w:sz w:val="22"/>
                <w:szCs w:val="22"/>
              </w:rPr>
            </w:pPr>
          </w:p>
          <w:p w:rsidR="000C57BF" w:rsidRDefault="000C57BF">
            <w:pPr>
              <w:jc w:val="both"/>
              <w:rPr>
                <w:bCs/>
                <w:iCs/>
                <w:sz w:val="22"/>
                <w:szCs w:val="22"/>
              </w:rPr>
            </w:pPr>
          </w:p>
          <w:p w:rsidR="000C57BF" w:rsidRDefault="000C57BF">
            <w:pPr>
              <w:jc w:val="both"/>
              <w:rPr>
                <w:bCs/>
                <w:iCs/>
                <w:sz w:val="22"/>
                <w:szCs w:val="22"/>
              </w:rPr>
            </w:pP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2. Conformitatea proiectului de act normativ cu legislaţia comunitară în cazul proiectelor ce transpun prevederi comunitare </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3. Măsuri normative necesare aplicării directe a ac</w:t>
            </w:r>
            <w:r>
              <w:rPr>
                <w:bCs/>
                <w:iCs/>
                <w:sz w:val="22"/>
                <w:szCs w:val="22"/>
              </w:rPr>
              <w:t>telor normative comunitare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4. Hotărâri ale Curţii de Justiţie a Uniunii Europene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5. Alte acte normative şi/sau documente </w:t>
            </w:r>
            <w:r>
              <w:rPr>
                <w:bCs/>
                <w:iCs/>
                <w:sz w:val="22"/>
                <w:szCs w:val="22"/>
              </w:rPr>
              <w:lastRenderedPageBreak/>
              <w:t xml:space="preserve">internaţionale din </w:t>
            </w:r>
            <w:r>
              <w:rPr>
                <w:bCs/>
                <w:iCs/>
                <w:sz w:val="22"/>
                <w:szCs w:val="22"/>
              </w:rPr>
              <w:t>care decurg angajamente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lastRenderedPageBreak/>
              <w:t>Proiectul de act normativ nu se referă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lastRenderedPageBreak/>
              <w:t>6. Alte informaţii</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center"/>
              <w:rPr>
                <w:bCs/>
                <w:iCs/>
                <w:sz w:val="22"/>
                <w:szCs w:val="22"/>
              </w:rPr>
            </w:pPr>
            <w:r>
              <w:rPr>
                <w:bCs/>
                <w:iCs/>
                <w:sz w:val="22"/>
                <w:szCs w:val="22"/>
              </w:rPr>
              <w:t xml:space="preserve">-  </w:t>
            </w:r>
          </w:p>
        </w:tc>
      </w:tr>
      <w:tr w:rsidR="000C57BF">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t>Secţiunea a 6-a</w:t>
            </w:r>
          </w:p>
          <w:p w:rsidR="000C57BF" w:rsidRDefault="007F79BB">
            <w:pPr>
              <w:jc w:val="center"/>
              <w:rPr>
                <w:b/>
                <w:bCs/>
                <w:i/>
                <w:iCs/>
                <w:sz w:val="22"/>
                <w:szCs w:val="22"/>
              </w:rPr>
            </w:pPr>
            <w:r>
              <w:rPr>
                <w:b/>
                <w:bCs/>
                <w:i/>
                <w:iCs/>
                <w:sz w:val="22"/>
                <w:szCs w:val="22"/>
              </w:rPr>
              <w:t>Consultările efectuate în vederea elaborării actului normativ</w:t>
            </w:r>
          </w:p>
          <w:p w:rsidR="000C57BF" w:rsidRDefault="000C57BF">
            <w:pPr>
              <w:jc w:val="center"/>
              <w:rPr>
                <w:b/>
                <w:bCs/>
                <w:i/>
                <w:iCs/>
                <w:sz w:val="22"/>
                <w:szCs w:val="22"/>
              </w:rPr>
            </w:pP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1. Informaţii privind procesul de consultare cu organizaţii </w:t>
            </w:r>
            <w:r>
              <w:rPr>
                <w:bCs/>
                <w:iCs/>
                <w:sz w:val="22"/>
                <w:szCs w:val="22"/>
              </w:rPr>
              <w:t>neguvernamentale, institute de cercetare şi alte organisme implicate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Termenul de 3 luni pentru care se propune suspendarea aplicării unor dispoziții legale cuprinse în Ordonanţa de urgenţă a Guvernului nr.28/1999 privind obligaţia operatorilor economici de</w:t>
            </w:r>
            <w:r>
              <w:rPr>
                <w:sz w:val="22"/>
                <w:szCs w:val="22"/>
              </w:rPr>
              <w:t xml:space="preserve"> a utiliza aparate de marcat electronice fiscale, a fost stabilit avându-se în vedere stadiul avizării tehnice care se desfășoară la ICI București, precum și propunerile transmise Ministerului Finanțelor Publice de Asociația Marilor Rețele Comerciale din R</w:t>
            </w:r>
            <w:r>
              <w:rPr>
                <w:sz w:val="22"/>
                <w:szCs w:val="22"/>
              </w:rPr>
              <w:t>omânia precum și de alți operatori economici care au calitatea de mari contribuabili.</w:t>
            </w:r>
          </w:p>
          <w:p w:rsidR="000C57BF" w:rsidRDefault="000C57BF">
            <w:pPr>
              <w:jc w:val="both"/>
              <w:rPr>
                <w:sz w:val="22"/>
                <w:szCs w:val="22"/>
              </w:rPr>
            </w:pPr>
          </w:p>
          <w:p w:rsidR="000C57BF" w:rsidRDefault="007F79BB">
            <w:pPr>
              <w:jc w:val="both"/>
              <w:rPr>
                <w:sz w:val="22"/>
                <w:szCs w:val="22"/>
              </w:rPr>
            </w:pPr>
            <w:r>
              <w:rPr>
                <w:sz w:val="22"/>
                <w:szCs w:val="22"/>
              </w:rPr>
              <w:t>În vederea asigurării unui mediu concurențial, în cadrul  întâlnirilor de monitorizare a stadiului implementării aparatelor de marcat cu jurnal electronic, organizate de</w:t>
            </w:r>
            <w:r>
              <w:rPr>
                <w:sz w:val="22"/>
                <w:szCs w:val="22"/>
              </w:rPr>
              <w:t xml:space="preserve"> Ministerul Finanțelor Publice cu distribuitori/producători de aparate de marcat și ICI București, s-a luat decizia ca ICI București să elibereze primele avize tehnice doar în momentul în care cel puțin 5 operatori economici diferiți au parcurs procedura d</w:t>
            </w:r>
            <w:r>
              <w:rPr>
                <w:sz w:val="22"/>
                <w:szCs w:val="22"/>
              </w:rPr>
              <w:t xml:space="preserve">e avizare, iar prototipurile îndeplinesc toate condițiile tehnice prevăzute de lege. </w:t>
            </w:r>
          </w:p>
          <w:p w:rsidR="000C57BF" w:rsidRDefault="007F79BB">
            <w:pPr>
              <w:jc w:val="both"/>
              <w:rPr>
                <w:sz w:val="22"/>
                <w:szCs w:val="22"/>
              </w:rPr>
            </w:pPr>
            <w:r>
              <w:rPr>
                <w:sz w:val="22"/>
                <w:szCs w:val="22"/>
              </w:rPr>
              <w:t>Ulterior, în situația în care acești  operatori economici aplică concomitent pentru autorizația de distribuție, Ministerul Finanțelor Publice va proceda în mod  similar ș</w:t>
            </w:r>
            <w:r>
              <w:rPr>
                <w:sz w:val="22"/>
                <w:szCs w:val="22"/>
              </w:rPr>
              <w:t>i va  elibera în același timp autorizațiile de distribuție pentru toți operatorii economici care îndeplinesc condițiile prevăzute de lege.</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 Fundamentarea alegerii organizaţiilor cu care a avut loc consultarea, precum şi a modului în care activitatea ace</w:t>
            </w:r>
            <w:r>
              <w:rPr>
                <w:bCs/>
                <w:iCs/>
                <w:sz w:val="22"/>
                <w:szCs w:val="22"/>
              </w:rPr>
              <w:t>stor organizaţii este legată de obiectul actului normativ</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3. Consultările organizate cu autorităţile administraţiei publice locale, în situaţia în care actul normativ are ca obiect activităţi ale </w:t>
            </w:r>
            <w:r>
              <w:rPr>
                <w:bCs/>
                <w:iCs/>
                <w:sz w:val="22"/>
                <w:szCs w:val="22"/>
              </w:rPr>
              <w:t>acestor autorităţi, în condiţiile Hotărârii Guvernului nr. 521/2005 privind procedurile de consultare a structurilor asociative ale autorităţilor administraţiei publice locale la elaborarea proiectelor de acte normative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w:t>
            </w:r>
            <w:r>
              <w:rPr>
                <w:sz w:val="22"/>
                <w:szCs w:val="22"/>
              </w:rPr>
              <w:t>ră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4. Consultările desfăşurate în cadrul consiliilor interministeriale, în conformitate</w:t>
            </w:r>
          </w:p>
          <w:p w:rsidR="000C57BF" w:rsidRDefault="007F79BB">
            <w:pPr>
              <w:jc w:val="both"/>
              <w:rPr>
                <w:bCs/>
                <w:iCs/>
                <w:sz w:val="22"/>
                <w:szCs w:val="22"/>
              </w:rPr>
            </w:pPr>
            <w:r>
              <w:rPr>
                <w:bCs/>
                <w:iCs/>
                <w:sz w:val="22"/>
                <w:szCs w:val="22"/>
              </w:rPr>
              <w:t xml:space="preserve"> cu prevederile Hotărârii Guvernului nr. 750/2005 privind constituirea consiliilor interministeriale permanente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w:t>
            </w:r>
            <w:r>
              <w:rPr>
                <w:sz w:val="22"/>
                <w:szCs w:val="22"/>
              </w:rPr>
              <w:t>ă la acest subiect.</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5. Informaţii privind avizarea de către:</w:t>
            </w:r>
          </w:p>
          <w:p w:rsidR="000C57BF" w:rsidRDefault="007F79BB">
            <w:pPr>
              <w:jc w:val="both"/>
              <w:rPr>
                <w:bCs/>
                <w:iCs/>
                <w:sz w:val="22"/>
                <w:szCs w:val="22"/>
              </w:rPr>
            </w:pPr>
            <w:r>
              <w:rPr>
                <w:bCs/>
                <w:iCs/>
                <w:sz w:val="22"/>
                <w:szCs w:val="22"/>
              </w:rPr>
              <w:t>a) Consiliul Legislativ</w:t>
            </w:r>
          </w:p>
          <w:p w:rsidR="000C57BF" w:rsidRDefault="007F79BB">
            <w:pPr>
              <w:jc w:val="both"/>
              <w:rPr>
                <w:bCs/>
                <w:iCs/>
                <w:sz w:val="22"/>
                <w:szCs w:val="22"/>
              </w:rPr>
            </w:pPr>
            <w:r>
              <w:rPr>
                <w:bCs/>
                <w:iCs/>
                <w:sz w:val="22"/>
                <w:szCs w:val="22"/>
              </w:rPr>
              <w:t>b) Consiliul Suprem de Apărare a Ţării</w:t>
            </w:r>
          </w:p>
          <w:p w:rsidR="000C57BF" w:rsidRDefault="007F79BB">
            <w:pPr>
              <w:jc w:val="both"/>
              <w:rPr>
                <w:bCs/>
                <w:iCs/>
                <w:sz w:val="22"/>
                <w:szCs w:val="22"/>
              </w:rPr>
            </w:pPr>
            <w:r>
              <w:rPr>
                <w:bCs/>
                <w:iCs/>
                <w:sz w:val="22"/>
                <w:szCs w:val="22"/>
              </w:rPr>
              <w:t>c) Consiliul Economic şi Social</w:t>
            </w:r>
          </w:p>
          <w:p w:rsidR="000C57BF" w:rsidRDefault="007F79BB">
            <w:pPr>
              <w:jc w:val="both"/>
              <w:rPr>
                <w:bCs/>
                <w:iCs/>
                <w:sz w:val="22"/>
                <w:szCs w:val="22"/>
              </w:rPr>
            </w:pPr>
            <w:r>
              <w:rPr>
                <w:bCs/>
                <w:iCs/>
                <w:sz w:val="22"/>
                <w:szCs w:val="22"/>
              </w:rPr>
              <w:t>d) Consiliul Concurenţei</w:t>
            </w:r>
          </w:p>
          <w:p w:rsidR="000C57BF" w:rsidRDefault="007F79BB">
            <w:pPr>
              <w:jc w:val="both"/>
              <w:rPr>
                <w:bCs/>
                <w:iCs/>
                <w:sz w:val="22"/>
                <w:szCs w:val="22"/>
              </w:rPr>
            </w:pPr>
            <w:r>
              <w:rPr>
                <w:bCs/>
                <w:iCs/>
                <w:sz w:val="22"/>
                <w:szCs w:val="22"/>
              </w:rPr>
              <w:t>e) Curtea de Conturi</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 xml:space="preserve">Proiectul de act normativ se avizează de către </w:t>
            </w:r>
            <w:r>
              <w:rPr>
                <w:sz w:val="22"/>
                <w:szCs w:val="22"/>
              </w:rPr>
              <w:t>Consiliul Legislativ și Consiliul Economic și Social, precum Consiliul Concurenței.</w:t>
            </w:r>
          </w:p>
          <w:p w:rsidR="000C57BF" w:rsidRDefault="000C57BF">
            <w:pPr>
              <w:jc w:val="both"/>
              <w:rPr>
                <w:sz w:val="22"/>
                <w:szCs w:val="22"/>
              </w:rPr>
            </w:pP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6. Alte informaţii</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r w:rsidR="000C57BF">
        <w:trPr>
          <w:trHeight w:val="1125"/>
        </w:trPr>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jc w:val="center"/>
              <w:rPr>
                <w:b/>
                <w:bCs/>
                <w:i/>
                <w:iCs/>
                <w:sz w:val="22"/>
                <w:szCs w:val="22"/>
              </w:rPr>
            </w:pPr>
          </w:p>
          <w:p w:rsidR="000C57BF" w:rsidRDefault="007F79BB">
            <w:pPr>
              <w:jc w:val="center"/>
              <w:rPr>
                <w:b/>
                <w:bCs/>
                <w:i/>
                <w:iCs/>
                <w:sz w:val="22"/>
                <w:szCs w:val="22"/>
              </w:rPr>
            </w:pPr>
            <w:r>
              <w:rPr>
                <w:b/>
                <w:bCs/>
                <w:i/>
                <w:iCs/>
                <w:sz w:val="22"/>
                <w:szCs w:val="22"/>
              </w:rPr>
              <w:t>Secţiunea a 7-a</w:t>
            </w:r>
          </w:p>
          <w:p w:rsidR="000C57BF" w:rsidRDefault="007F79BB">
            <w:pPr>
              <w:jc w:val="center"/>
              <w:rPr>
                <w:b/>
                <w:bCs/>
                <w:i/>
                <w:iCs/>
                <w:sz w:val="22"/>
                <w:szCs w:val="22"/>
              </w:rPr>
            </w:pPr>
            <w:r>
              <w:rPr>
                <w:b/>
                <w:bCs/>
                <w:i/>
                <w:iCs/>
                <w:sz w:val="22"/>
                <w:szCs w:val="22"/>
              </w:rPr>
              <w:t xml:space="preserve">Activităţi de informare publică privind elaborarea şi implementarea </w:t>
            </w:r>
            <w:r>
              <w:rPr>
                <w:b/>
                <w:bCs/>
                <w:i/>
                <w:iCs/>
                <w:sz w:val="22"/>
                <w:szCs w:val="22"/>
              </w:rPr>
              <w:t>proiectului de act normativ</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1. Informarea societăţii civile cu privire la necesitatea elaborării actului normativ</w:t>
            </w:r>
          </w:p>
          <w:p w:rsidR="000C57BF" w:rsidRDefault="000C57BF">
            <w:pPr>
              <w:jc w:val="both"/>
              <w:rPr>
                <w:bCs/>
                <w:iCs/>
                <w:sz w:val="22"/>
                <w:szCs w:val="22"/>
              </w:rPr>
            </w:pP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 xml:space="preserve">Proiectul de act normativ a fost supus dezbaterii publice, potrivit dispoziţiilor Legii nr. 52/2003 privind transparenţa decizională în </w:t>
            </w:r>
            <w:r>
              <w:rPr>
                <w:bCs/>
                <w:iCs/>
                <w:sz w:val="22"/>
                <w:szCs w:val="22"/>
              </w:rPr>
              <w:t>administraţia publică.</w:t>
            </w:r>
          </w:p>
          <w:p w:rsidR="000C57BF" w:rsidRDefault="007F79BB">
            <w:pPr>
              <w:jc w:val="both"/>
              <w:rPr>
                <w:bCs/>
                <w:iCs/>
                <w:sz w:val="22"/>
                <w:szCs w:val="22"/>
              </w:rPr>
            </w:pPr>
            <w:r>
              <w:rPr>
                <w:bCs/>
                <w:iCs/>
                <w:sz w:val="22"/>
                <w:szCs w:val="22"/>
              </w:rPr>
              <w:t>Au fost respectate prevederile legale privind consultarea publică pe pagina de internet a instituției inițiatoare.</w:t>
            </w:r>
          </w:p>
        </w:tc>
      </w:tr>
      <w:tr w:rsidR="000C57BF">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 Informarea societăţii civile cu privire la eventualul impact asupra mediului, în urma implementării proiectului de</w:t>
            </w:r>
            <w:r>
              <w:rPr>
                <w:bCs/>
                <w:iCs/>
                <w:sz w:val="22"/>
                <w:szCs w:val="22"/>
              </w:rPr>
              <w:t xml:space="preserve"> act  normativ, precum şi efectele asupra sănătăţii şi securităţii cetăţenilor sau diversităţii biologice</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r w:rsidR="000C57BF">
        <w:trPr>
          <w:trHeight w:val="787"/>
        </w:trPr>
        <w:tc>
          <w:tcPr>
            <w:tcW w:w="4205"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3. Alte informaţii</w:t>
            </w:r>
          </w:p>
        </w:tc>
        <w:tc>
          <w:tcPr>
            <w:tcW w:w="5437"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rPr>
                <w:sz w:val="22"/>
                <w:szCs w:val="22"/>
              </w:rPr>
            </w:pPr>
            <w:r>
              <w:rPr>
                <w:sz w:val="22"/>
                <w:szCs w:val="22"/>
              </w:rPr>
              <w:t>Proiectul de act normativ nu se referă la acest subiect.</w:t>
            </w:r>
          </w:p>
        </w:tc>
      </w:tr>
    </w:tbl>
    <w:p w:rsidR="000C57BF" w:rsidRDefault="000C57BF"/>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205"/>
        <w:gridCol w:w="5437"/>
      </w:tblGrid>
      <w:tr w:rsidR="000C57BF">
        <w:tc>
          <w:tcPr>
            <w:tcW w:w="964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0C57BF">
            <w:pPr>
              <w:pageBreakBefore/>
              <w:jc w:val="center"/>
              <w:rPr>
                <w:b/>
                <w:bCs/>
                <w:i/>
                <w:iCs/>
                <w:sz w:val="22"/>
                <w:szCs w:val="22"/>
              </w:rPr>
            </w:pPr>
          </w:p>
          <w:p w:rsidR="000C57BF" w:rsidRDefault="007F79BB">
            <w:pPr>
              <w:jc w:val="center"/>
              <w:rPr>
                <w:b/>
                <w:bCs/>
                <w:i/>
                <w:iCs/>
                <w:sz w:val="22"/>
                <w:szCs w:val="22"/>
              </w:rPr>
            </w:pPr>
            <w:r>
              <w:rPr>
                <w:b/>
                <w:bCs/>
                <w:i/>
                <w:iCs/>
                <w:sz w:val="22"/>
                <w:szCs w:val="22"/>
              </w:rPr>
              <w:t xml:space="preserve">Secţiunea a </w:t>
            </w:r>
            <w:r>
              <w:rPr>
                <w:b/>
                <w:bCs/>
                <w:i/>
                <w:iCs/>
                <w:sz w:val="22"/>
                <w:szCs w:val="22"/>
              </w:rPr>
              <w:t>8-a</w:t>
            </w:r>
          </w:p>
          <w:p w:rsidR="000C57BF" w:rsidRDefault="007F79BB">
            <w:pPr>
              <w:jc w:val="center"/>
              <w:rPr>
                <w:b/>
                <w:bCs/>
                <w:i/>
                <w:iCs/>
                <w:sz w:val="22"/>
                <w:szCs w:val="22"/>
              </w:rPr>
            </w:pPr>
            <w:r>
              <w:rPr>
                <w:b/>
                <w:bCs/>
                <w:i/>
                <w:iCs/>
                <w:sz w:val="22"/>
                <w:szCs w:val="22"/>
              </w:rPr>
              <w:t>Măsuri de implementare</w:t>
            </w:r>
          </w:p>
          <w:p w:rsidR="000C57BF" w:rsidRDefault="000C57BF">
            <w:pPr>
              <w:jc w:val="center"/>
              <w:rPr>
                <w:b/>
                <w:bCs/>
                <w:iCs/>
                <w:sz w:val="22"/>
                <w:szCs w:val="22"/>
              </w:rPr>
            </w:pPr>
          </w:p>
        </w:tc>
      </w:tr>
      <w:tr w:rsidR="000C57BF">
        <w:tc>
          <w:tcPr>
            <w:tcW w:w="42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1. Măsurile de punere în aplicare a actului normativ de către autorităţile administraţiei publice centrale şi/sau locale - înfiinţarea unor noi organisme sau extinderea competențelor instituţiilor existente</w:t>
            </w:r>
          </w:p>
          <w:p w:rsidR="000C57BF" w:rsidRDefault="000C57BF">
            <w:pPr>
              <w:jc w:val="both"/>
              <w:rPr>
                <w:bCs/>
                <w:iCs/>
                <w:sz w:val="22"/>
                <w:szCs w:val="22"/>
              </w:rPr>
            </w:pPr>
          </w:p>
        </w:tc>
        <w:tc>
          <w:tcPr>
            <w:tcW w:w="54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w:t>
            </w:r>
            <w:r>
              <w:rPr>
                <w:sz w:val="22"/>
                <w:szCs w:val="22"/>
              </w:rPr>
              <w:t>rmativ nu se referă la acest subiect.</w:t>
            </w:r>
          </w:p>
        </w:tc>
      </w:tr>
      <w:tr w:rsidR="000C57BF">
        <w:tc>
          <w:tcPr>
            <w:tcW w:w="42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bCs/>
                <w:iCs/>
                <w:sz w:val="22"/>
                <w:szCs w:val="22"/>
              </w:rPr>
            </w:pPr>
            <w:r>
              <w:rPr>
                <w:bCs/>
                <w:iCs/>
                <w:sz w:val="22"/>
                <w:szCs w:val="22"/>
              </w:rPr>
              <w:t>2. Alte informaţii</w:t>
            </w:r>
          </w:p>
          <w:p w:rsidR="000C57BF" w:rsidRDefault="000C57BF">
            <w:pPr>
              <w:jc w:val="both"/>
              <w:rPr>
                <w:bCs/>
                <w:iCs/>
                <w:sz w:val="22"/>
                <w:szCs w:val="22"/>
              </w:rPr>
            </w:pPr>
          </w:p>
        </w:tc>
        <w:tc>
          <w:tcPr>
            <w:tcW w:w="54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C57BF" w:rsidRDefault="007F79BB">
            <w:pPr>
              <w:jc w:val="both"/>
              <w:rPr>
                <w:sz w:val="22"/>
                <w:szCs w:val="22"/>
              </w:rPr>
            </w:pPr>
            <w:r>
              <w:rPr>
                <w:sz w:val="22"/>
                <w:szCs w:val="22"/>
              </w:rPr>
              <w:t>Proiectul de act normativ nu se referă la acest subiect.</w:t>
            </w:r>
          </w:p>
        </w:tc>
      </w:tr>
    </w:tbl>
    <w:p w:rsidR="000C57BF" w:rsidRDefault="000C57BF">
      <w:pPr>
        <w:jc w:val="both"/>
        <w:rPr>
          <w:sz w:val="22"/>
          <w:szCs w:val="22"/>
        </w:rPr>
      </w:pPr>
    </w:p>
    <w:p w:rsidR="000C57BF" w:rsidRDefault="007F79BB">
      <w:pPr>
        <w:jc w:val="both"/>
        <w:rPr>
          <w:bCs/>
          <w:iCs/>
          <w:sz w:val="22"/>
          <w:szCs w:val="22"/>
        </w:rPr>
      </w:pPr>
      <w:r>
        <w:rPr>
          <w:sz w:val="22"/>
          <w:szCs w:val="22"/>
        </w:rPr>
        <w:tab/>
        <w:t xml:space="preserve">Față de cele prezentate, a fost promovată prezenta Ordonanță de urgenţă a Guvernului </w:t>
      </w:r>
      <w:r>
        <w:rPr>
          <w:bCs/>
          <w:iCs/>
          <w:sz w:val="22"/>
          <w:szCs w:val="22"/>
        </w:rPr>
        <w:t xml:space="preserve">pentru suspendarea aplicării unor dispoziţii și </w:t>
      </w:r>
      <w:r>
        <w:rPr>
          <w:bCs/>
          <w:iCs/>
          <w:sz w:val="22"/>
          <w:szCs w:val="22"/>
        </w:rPr>
        <w:t>prelungirea unui termen prevăzut de Ordonanţa de urgenţă a Guvernului nr. 28/1999 privind obligaţia operatorilor economici de a utiliza aparate de marcat electronice fiscale,</w:t>
      </w:r>
      <w:r>
        <w:rPr>
          <w:bCs/>
          <w:sz w:val="22"/>
          <w:szCs w:val="22"/>
        </w:rPr>
        <w:t xml:space="preserve"> precum și pentru modificarea şi completarea Ordonanţei de urgenţă a Guvernului nr</w:t>
      </w:r>
      <w:r>
        <w:rPr>
          <w:bCs/>
          <w:sz w:val="22"/>
          <w:szCs w:val="22"/>
        </w:rPr>
        <w:t>. 64/2007 privind datoria publică</w:t>
      </w:r>
      <w:r>
        <w:rPr>
          <w:bCs/>
          <w:iCs/>
          <w:sz w:val="22"/>
          <w:szCs w:val="22"/>
        </w:rPr>
        <w:t xml:space="preserve"> .</w:t>
      </w:r>
    </w:p>
    <w:p w:rsidR="000C57BF" w:rsidRDefault="000C57BF">
      <w:pPr>
        <w:jc w:val="center"/>
      </w:pPr>
    </w:p>
    <w:p w:rsidR="000C57BF" w:rsidRDefault="000C57BF">
      <w:pPr>
        <w:jc w:val="center"/>
        <w:rPr>
          <w:b/>
          <w:sz w:val="28"/>
          <w:szCs w:val="28"/>
        </w:rPr>
      </w:pPr>
    </w:p>
    <w:p w:rsidR="000C57BF" w:rsidRDefault="007F79BB">
      <w:pPr>
        <w:jc w:val="center"/>
        <w:rPr>
          <w:b/>
          <w:sz w:val="28"/>
          <w:szCs w:val="28"/>
        </w:rPr>
      </w:pPr>
      <w:r>
        <w:rPr>
          <w:b/>
          <w:sz w:val="28"/>
          <w:szCs w:val="28"/>
        </w:rPr>
        <w:t>Ministrul finanțelor publice</w:t>
      </w:r>
    </w:p>
    <w:p w:rsidR="000C57BF" w:rsidRDefault="007F79BB">
      <w:pPr>
        <w:jc w:val="center"/>
        <w:rPr>
          <w:b/>
          <w:sz w:val="28"/>
          <w:szCs w:val="28"/>
        </w:rPr>
      </w:pPr>
      <w:r>
        <w:rPr>
          <w:b/>
          <w:sz w:val="28"/>
          <w:szCs w:val="28"/>
        </w:rPr>
        <w:t>Eugen Orlando TEODOROVICI</w:t>
      </w:r>
    </w:p>
    <w:p w:rsidR="000C57BF" w:rsidRDefault="000C57BF"/>
    <w:p w:rsidR="000C57BF" w:rsidRDefault="000C57BF">
      <w:pPr>
        <w:jc w:val="center"/>
      </w:pPr>
    </w:p>
    <w:p w:rsidR="000C57BF" w:rsidRDefault="000C57BF">
      <w:pPr>
        <w:jc w:val="center"/>
      </w:pPr>
    </w:p>
    <w:p w:rsidR="000C57BF" w:rsidRDefault="000C57BF">
      <w:pPr>
        <w:jc w:val="center"/>
        <w:rPr>
          <w:b/>
          <w:sz w:val="28"/>
          <w:szCs w:val="28"/>
        </w:rPr>
      </w:pPr>
    </w:p>
    <w:p w:rsidR="000C57BF" w:rsidRDefault="007F79BB">
      <w:pPr>
        <w:jc w:val="center"/>
        <w:rPr>
          <w:b/>
        </w:rPr>
      </w:pPr>
      <w:r>
        <w:rPr>
          <w:b/>
        </w:rPr>
        <w:t>AVIZAT FAVORABIL</w:t>
      </w:r>
    </w:p>
    <w:p w:rsidR="000C57BF" w:rsidRDefault="000C57BF">
      <w:pPr>
        <w:jc w:val="center"/>
        <w:rPr>
          <w:b/>
        </w:rPr>
      </w:pPr>
    </w:p>
    <w:p w:rsidR="000C57BF" w:rsidRDefault="000C57BF">
      <w:pPr>
        <w:jc w:val="center"/>
        <w:rPr>
          <w:b/>
        </w:rPr>
      </w:pPr>
    </w:p>
    <w:p w:rsidR="000C57BF" w:rsidRDefault="000C57BF">
      <w:pPr>
        <w:jc w:val="center"/>
        <w:rPr>
          <w:b/>
        </w:rPr>
      </w:pPr>
    </w:p>
    <w:p w:rsidR="000C57BF" w:rsidRDefault="007F79BB">
      <w:pPr>
        <w:jc w:val="center"/>
        <w:rPr>
          <w:b/>
          <w:sz w:val="28"/>
          <w:szCs w:val="28"/>
        </w:rPr>
      </w:pPr>
      <w:r>
        <w:rPr>
          <w:b/>
          <w:sz w:val="28"/>
          <w:szCs w:val="28"/>
        </w:rPr>
        <w:t>Ministrul Comunicațiilor și Societății Informaționale</w:t>
      </w:r>
    </w:p>
    <w:p w:rsidR="000C57BF" w:rsidRDefault="007F79BB">
      <w:pPr>
        <w:jc w:val="center"/>
        <w:rPr>
          <w:b/>
          <w:sz w:val="28"/>
          <w:szCs w:val="28"/>
        </w:rPr>
      </w:pPr>
      <w:r>
        <w:rPr>
          <w:b/>
          <w:sz w:val="28"/>
          <w:szCs w:val="28"/>
        </w:rPr>
        <w:t>Petru Bogdan COJOCARU</w:t>
      </w:r>
    </w:p>
    <w:p w:rsidR="000C57BF" w:rsidRDefault="000C57BF">
      <w:pPr>
        <w:jc w:val="center"/>
        <w:rPr>
          <w:b/>
          <w:sz w:val="28"/>
          <w:szCs w:val="28"/>
        </w:rPr>
      </w:pPr>
    </w:p>
    <w:p w:rsidR="000C57BF" w:rsidRDefault="000C57BF">
      <w:pPr>
        <w:jc w:val="center"/>
        <w:rPr>
          <w:b/>
          <w:sz w:val="28"/>
          <w:szCs w:val="28"/>
        </w:rPr>
      </w:pPr>
    </w:p>
    <w:p w:rsidR="000C57BF" w:rsidRDefault="007F79BB">
      <w:pPr>
        <w:jc w:val="center"/>
        <w:rPr>
          <w:b/>
          <w:sz w:val="28"/>
          <w:szCs w:val="28"/>
        </w:rPr>
      </w:pPr>
      <w:r>
        <w:rPr>
          <w:b/>
          <w:sz w:val="28"/>
          <w:szCs w:val="28"/>
        </w:rPr>
        <w:t>Ministrul Justiției</w:t>
      </w:r>
    </w:p>
    <w:p w:rsidR="000C57BF" w:rsidRDefault="007F79BB">
      <w:pPr>
        <w:jc w:val="center"/>
        <w:rPr>
          <w:b/>
          <w:sz w:val="28"/>
          <w:szCs w:val="28"/>
        </w:rPr>
      </w:pPr>
      <w:r>
        <w:rPr>
          <w:b/>
          <w:sz w:val="28"/>
          <w:szCs w:val="28"/>
        </w:rPr>
        <w:t>Tudorel TOADER</w:t>
      </w:r>
    </w:p>
    <w:p w:rsidR="000C57BF" w:rsidRDefault="000C57BF">
      <w:pPr>
        <w:jc w:val="center"/>
        <w:rPr>
          <w:b/>
          <w:sz w:val="28"/>
          <w:szCs w:val="28"/>
        </w:rPr>
      </w:pPr>
    </w:p>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p w:rsidR="000C57BF" w:rsidRDefault="000C57BF"/>
    <w:sectPr w:rsidR="000C57BF">
      <w:footerReference w:type="default" r:id="rId8"/>
      <w:pgSz w:w="11906" w:h="16838"/>
      <w:pgMar w:top="851" w:right="1134" w:bottom="766"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BB" w:rsidRDefault="007F79BB">
      <w:r>
        <w:separator/>
      </w:r>
    </w:p>
  </w:endnote>
  <w:endnote w:type="continuationSeparator" w:id="0">
    <w:p w:rsidR="007F79BB" w:rsidRDefault="007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BF" w:rsidRDefault="007F79BB">
    <w:pPr>
      <w:pStyle w:val="Footer"/>
      <w:jc w:val="center"/>
    </w:pPr>
    <w:r>
      <w:fldChar w:fldCharType="begin"/>
    </w:r>
    <w:r>
      <w:instrText>PAGE</w:instrText>
    </w:r>
    <w:r>
      <w:fldChar w:fldCharType="separate"/>
    </w:r>
    <w:r w:rsidR="0002662A">
      <w:rPr>
        <w:noProof/>
      </w:rPr>
      <w:t>1</w:t>
    </w:r>
    <w:r>
      <w:fldChar w:fldCharType="end"/>
    </w:r>
  </w:p>
  <w:p w:rsidR="000C57BF" w:rsidRDefault="000C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BB" w:rsidRDefault="007F79BB">
      <w:r>
        <w:separator/>
      </w:r>
    </w:p>
  </w:footnote>
  <w:footnote w:type="continuationSeparator" w:id="0">
    <w:p w:rsidR="007F79BB" w:rsidRDefault="007F79BB">
      <w:r>
        <w:continuationSeparator/>
      </w:r>
    </w:p>
  </w:footnote>
  <w:footnote w:id="1">
    <w:p w:rsidR="000C57BF" w:rsidRDefault="007F79BB">
      <w:pPr>
        <w:pStyle w:val="Footnote"/>
      </w:pPr>
      <w:r>
        <w:rPr>
          <w:rStyle w:val="FootnoteReference"/>
        </w:rPr>
        <w:footnoteRef/>
      </w:r>
      <w:r>
        <w:rPr>
          <w:rStyle w:val="FootnoteReference"/>
        </w:rPr>
        <w:tab/>
      </w:r>
      <w:r>
        <w:t xml:space="preserve"> </w:t>
      </w:r>
      <w:r>
        <w:t xml:space="preserve">Vizează sancționarea  nerespectării de către utilizatorii aparatelor de marcat electronice fiscale a termenelor prevăzute de lege ( 1 iunie,  respectiv 1 august 2018), pentru  dotarea cu  aparate de marcat electronice fiscale cu jurnal electronic </w:t>
      </w:r>
    </w:p>
  </w:footnote>
  <w:footnote w:id="2">
    <w:p w:rsidR="000C57BF" w:rsidRDefault="007F79BB">
      <w:pPr>
        <w:pStyle w:val="FootnoteText"/>
      </w:pPr>
      <w:r>
        <w:rPr>
          <w:rStyle w:val="FootnoteReference"/>
        </w:rPr>
        <w:footnoteRef/>
      </w:r>
      <w:r>
        <w:rPr>
          <w:rStyle w:val="FootnoteReference"/>
        </w:rPr>
        <w:tab/>
      </w:r>
      <w:r>
        <w:t xml:space="preserve"> </w:t>
      </w:r>
      <w:r>
        <w:t>Vizea</w:t>
      </w:r>
      <w:r>
        <w:t>ză sancționarea comercializării, după data de 1 august 2018,  de către distribuitorii autorizaţi sau de către unităţile din reţeaua acestora acreditate pentru comercializare, a aparatelor de marcat electronice fiscale cu rolă jurnal ( aparate vechi)</w:t>
      </w:r>
    </w:p>
    <w:p w:rsidR="000C57BF" w:rsidRDefault="000C57BF">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73"/>
    <w:multiLevelType w:val="multilevel"/>
    <w:tmpl w:val="D200C35E"/>
    <w:lvl w:ilvl="0">
      <w:start w:val="1"/>
      <w:numFmt w:val="bullet"/>
      <w:lvlText w:val="-"/>
      <w:lvlJc w:val="left"/>
      <w:pPr>
        <w:tabs>
          <w:tab w:val="num" w:pos="660"/>
        </w:tabs>
        <w:ind w:left="660" w:hanging="360"/>
      </w:pPr>
      <w:rPr>
        <w:rFonts w:ascii="Times New Roman" w:hAnsi="Times New Roman" w:cs="Times New Roman"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 w15:restartNumberingAfterBreak="0">
    <w:nsid w:val="0B4C0385"/>
    <w:multiLevelType w:val="multilevel"/>
    <w:tmpl w:val="837831B0"/>
    <w:lvl w:ilvl="0">
      <w:start w:val="1"/>
      <w:numFmt w:val="bullet"/>
      <w:lvlText w:val=""/>
      <w:lvlJc w:val="left"/>
      <w:pPr>
        <w:ind w:left="1434" w:hanging="360"/>
      </w:pPr>
      <w:rPr>
        <w:rFonts w:ascii="Wingdings" w:hAnsi="Wingdings" w:cs="Wingdings"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 w15:restartNumberingAfterBreak="0">
    <w:nsid w:val="3B433CAC"/>
    <w:multiLevelType w:val="multilevel"/>
    <w:tmpl w:val="882CA9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1162944"/>
    <w:multiLevelType w:val="multilevel"/>
    <w:tmpl w:val="BF1AB7EE"/>
    <w:lvl w:ilvl="0">
      <w:start w:val="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371926"/>
    <w:multiLevelType w:val="multilevel"/>
    <w:tmpl w:val="EDAEB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B94DE3"/>
    <w:multiLevelType w:val="multilevel"/>
    <w:tmpl w:val="A942F132"/>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B5F3532"/>
    <w:multiLevelType w:val="multilevel"/>
    <w:tmpl w:val="123870FC"/>
    <w:lvl w:ilvl="0">
      <w:start w:val="1"/>
      <w:numFmt w:val="bullet"/>
      <w:lvlText w:val=""/>
      <w:lvlJc w:val="left"/>
      <w:pPr>
        <w:ind w:left="1165" w:hanging="360"/>
      </w:pPr>
      <w:rPr>
        <w:rFonts w:ascii="Wingdings" w:hAnsi="Wingdings" w:cs="Wingdings" w:hint="default"/>
      </w:rPr>
    </w:lvl>
    <w:lvl w:ilvl="1">
      <w:start w:val="1"/>
      <w:numFmt w:val="bullet"/>
      <w:lvlText w:val="o"/>
      <w:lvlJc w:val="left"/>
      <w:pPr>
        <w:ind w:left="1885" w:hanging="360"/>
      </w:pPr>
      <w:rPr>
        <w:rFonts w:ascii="Courier New" w:hAnsi="Courier New" w:cs="Courier New" w:hint="default"/>
      </w:rPr>
    </w:lvl>
    <w:lvl w:ilvl="2">
      <w:start w:val="1"/>
      <w:numFmt w:val="bullet"/>
      <w:lvlText w:val=""/>
      <w:lvlJc w:val="left"/>
      <w:pPr>
        <w:ind w:left="2605" w:hanging="360"/>
      </w:pPr>
      <w:rPr>
        <w:rFonts w:ascii="Wingdings" w:hAnsi="Wingdings" w:cs="Wingdings" w:hint="default"/>
      </w:rPr>
    </w:lvl>
    <w:lvl w:ilvl="3">
      <w:start w:val="1"/>
      <w:numFmt w:val="bullet"/>
      <w:lvlText w:val=""/>
      <w:lvlJc w:val="left"/>
      <w:pPr>
        <w:ind w:left="3325" w:hanging="360"/>
      </w:pPr>
      <w:rPr>
        <w:rFonts w:ascii="Symbol" w:hAnsi="Symbol" w:cs="Symbol" w:hint="default"/>
      </w:rPr>
    </w:lvl>
    <w:lvl w:ilvl="4">
      <w:start w:val="1"/>
      <w:numFmt w:val="bullet"/>
      <w:lvlText w:val="o"/>
      <w:lvlJc w:val="left"/>
      <w:pPr>
        <w:ind w:left="4045" w:hanging="360"/>
      </w:pPr>
      <w:rPr>
        <w:rFonts w:ascii="Courier New" w:hAnsi="Courier New" w:cs="Courier New" w:hint="default"/>
      </w:rPr>
    </w:lvl>
    <w:lvl w:ilvl="5">
      <w:start w:val="1"/>
      <w:numFmt w:val="bullet"/>
      <w:lvlText w:val=""/>
      <w:lvlJc w:val="left"/>
      <w:pPr>
        <w:ind w:left="4765" w:hanging="360"/>
      </w:pPr>
      <w:rPr>
        <w:rFonts w:ascii="Wingdings" w:hAnsi="Wingdings" w:cs="Wingdings" w:hint="default"/>
      </w:rPr>
    </w:lvl>
    <w:lvl w:ilvl="6">
      <w:start w:val="1"/>
      <w:numFmt w:val="bullet"/>
      <w:lvlText w:val=""/>
      <w:lvlJc w:val="left"/>
      <w:pPr>
        <w:ind w:left="5485" w:hanging="360"/>
      </w:pPr>
      <w:rPr>
        <w:rFonts w:ascii="Symbol" w:hAnsi="Symbol" w:cs="Symbol" w:hint="default"/>
      </w:rPr>
    </w:lvl>
    <w:lvl w:ilvl="7">
      <w:start w:val="1"/>
      <w:numFmt w:val="bullet"/>
      <w:lvlText w:val="o"/>
      <w:lvlJc w:val="left"/>
      <w:pPr>
        <w:ind w:left="6205" w:hanging="360"/>
      </w:pPr>
      <w:rPr>
        <w:rFonts w:ascii="Courier New" w:hAnsi="Courier New" w:cs="Courier New" w:hint="default"/>
      </w:rPr>
    </w:lvl>
    <w:lvl w:ilvl="8">
      <w:start w:val="1"/>
      <w:numFmt w:val="bullet"/>
      <w:lvlText w:val=""/>
      <w:lvlJc w:val="left"/>
      <w:pPr>
        <w:ind w:left="6925" w:hanging="360"/>
      </w:pPr>
      <w:rPr>
        <w:rFonts w:ascii="Wingdings" w:hAnsi="Wingdings" w:cs="Wingdings" w:hint="default"/>
      </w:rPr>
    </w:lvl>
  </w:abstractNum>
  <w:abstractNum w:abstractNumId="7" w15:restartNumberingAfterBreak="0">
    <w:nsid w:val="4B6F1CB7"/>
    <w:multiLevelType w:val="multilevel"/>
    <w:tmpl w:val="A0C678E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6F600468"/>
    <w:multiLevelType w:val="multilevel"/>
    <w:tmpl w:val="897286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FE16813"/>
    <w:multiLevelType w:val="multilevel"/>
    <w:tmpl w:val="FD646D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7"/>
  </w:num>
  <w:num w:numId="4">
    <w:abstractNumId w:val="1"/>
  </w:num>
  <w:num w:numId="5">
    <w:abstractNumId w:val="6"/>
  </w:num>
  <w:num w:numId="6">
    <w:abstractNumId w:val="8"/>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BF"/>
    <w:rsid w:val="0002662A"/>
    <w:rsid w:val="000C57BF"/>
    <w:rsid w:val="007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54FA-6F67-432A-844E-13F8928A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02"/>
    <w:pPr>
      <w:suppressAutoHyphens/>
    </w:pPr>
    <w:rPr>
      <w:color w:val="00000A"/>
      <w:sz w:val="24"/>
      <w:szCs w:val="24"/>
      <w:lang w:eastAsia="en-US"/>
    </w:rPr>
  </w:style>
  <w:style w:type="paragraph" w:styleId="Heading1">
    <w:name w:val="heading 1"/>
    <w:basedOn w:val="Normal"/>
    <w:qFormat/>
    <w:rsid w:val="00557E1F"/>
    <w:pPr>
      <w:outlineLvl w:val="0"/>
    </w:pPr>
  </w:style>
  <w:style w:type="paragraph" w:styleId="Heading3">
    <w:name w:val="heading 3"/>
    <w:basedOn w:val="Normal"/>
    <w:next w:val="Normal"/>
    <w:link w:val="Heading3Char"/>
    <w:semiHidden/>
    <w:unhideWhenUsed/>
    <w:qFormat/>
    <w:rsid w:val="00E912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84927"/>
  </w:style>
  <w:style w:type="character" w:customStyle="1" w:styleId="articol1">
    <w:name w:val="articol1"/>
    <w:rsid w:val="00D24806"/>
    <w:rPr>
      <w:b/>
      <w:bCs/>
      <w:color w:val="009500"/>
    </w:rPr>
  </w:style>
  <w:style w:type="character" w:customStyle="1" w:styleId="rvts7">
    <w:name w:val="rvts7"/>
    <w:rsid w:val="00915B93"/>
  </w:style>
  <w:style w:type="character" w:customStyle="1" w:styleId="rvts6">
    <w:name w:val="rvts6"/>
    <w:rsid w:val="00915B93"/>
  </w:style>
  <w:style w:type="character" w:styleId="CommentReference">
    <w:name w:val="annotation reference"/>
    <w:rsid w:val="0076558E"/>
    <w:rPr>
      <w:sz w:val="16"/>
      <w:szCs w:val="16"/>
    </w:rPr>
  </w:style>
  <w:style w:type="character" w:customStyle="1" w:styleId="CommentTextChar">
    <w:name w:val="Comment Text Char"/>
    <w:link w:val="CommentText"/>
    <w:rsid w:val="0076558E"/>
    <w:rPr>
      <w:lang w:val="ro-RO"/>
    </w:rPr>
  </w:style>
  <w:style w:type="character" w:customStyle="1" w:styleId="CommentSubjectChar">
    <w:name w:val="Comment Subject Char"/>
    <w:link w:val="CommentSubject"/>
    <w:rsid w:val="0076558E"/>
    <w:rPr>
      <w:b/>
      <w:bCs/>
      <w:lang w:val="ro-RO"/>
    </w:rPr>
  </w:style>
  <w:style w:type="character" w:customStyle="1" w:styleId="HeaderChar">
    <w:name w:val="Header Char"/>
    <w:link w:val="Header"/>
    <w:rsid w:val="002C33BB"/>
    <w:rPr>
      <w:sz w:val="24"/>
      <w:szCs w:val="24"/>
      <w:lang w:eastAsia="en-US"/>
    </w:rPr>
  </w:style>
  <w:style w:type="character" w:customStyle="1" w:styleId="FooterChar">
    <w:name w:val="Footer Char"/>
    <w:link w:val="Footer"/>
    <w:uiPriority w:val="99"/>
    <w:rsid w:val="002C33BB"/>
    <w:rPr>
      <w:sz w:val="24"/>
      <w:szCs w:val="24"/>
      <w:lang w:eastAsia="en-US"/>
    </w:rPr>
  </w:style>
  <w:style w:type="character" w:customStyle="1" w:styleId="Heading3Char">
    <w:name w:val="Heading 3 Char"/>
    <w:link w:val="Heading3"/>
    <w:semiHidden/>
    <w:rsid w:val="00E912C2"/>
    <w:rPr>
      <w:rFonts w:ascii="Calibri Light" w:eastAsia="Times New Roman" w:hAnsi="Calibri Light" w:cs="Times New Roman"/>
      <w:b/>
      <w:bCs/>
      <w:sz w:val="26"/>
      <w:szCs w:val="2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eastAsia="Times New Roman" w:cs="Arial"/>
    </w:rPr>
  </w:style>
  <w:style w:type="character" w:customStyle="1" w:styleId="ListLabel5">
    <w:name w:val="ListLabel 5"/>
    <w:rPr>
      <w:rFonts w:cs="Wingdings"/>
    </w:rPr>
  </w:style>
  <w:style w:type="character" w:customStyle="1" w:styleId="Bullets">
    <w:name w:val="Bullets"/>
    <w:rPr>
      <w:rFonts w:ascii="OpenSymbol" w:eastAsia="OpenSymbol" w:hAnsi="OpenSymbol" w:cs="OpenSymbol"/>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FootnoteTextChar">
    <w:name w:val="Footnote Text Char"/>
    <w:basedOn w:val="DefaultParagraphFont"/>
    <w:link w:val="FootnoteText"/>
    <w:rsid w:val="001624DD"/>
    <w:rPr>
      <w:color w:val="00000A"/>
      <w:lang w:eastAsia="en-US"/>
    </w:rPr>
  </w:style>
  <w:style w:type="character" w:styleId="FootnoteReference">
    <w:name w:val="footnote reference"/>
    <w:basedOn w:val="DefaultParagraphFont"/>
    <w:rsid w:val="001624DD"/>
    <w:rPr>
      <w:vertAlign w:val="superscript"/>
    </w:rPr>
  </w:style>
  <w:style w:type="character" w:customStyle="1" w:styleId="ListLabel21">
    <w:name w:val="ListLabel 21"/>
    <w:rPr>
      <w:rFonts w:cs="Times New Roman"/>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OpenSymbol"/>
    </w:rPr>
  </w:style>
  <w:style w:type="character" w:customStyle="1" w:styleId="ListLabel26">
    <w:name w:val="ListLabel 26"/>
    <w:rPr>
      <w:rFonts w:eastAsia="Arial" w:cs="Arial"/>
    </w:rPr>
  </w:style>
  <w:style w:type="character" w:customStyle="1" w:styleId="ListLabel27">
    <w:name w:val="ListLabel 27"/>
    <w:rPr>
      <w:rFonts w:eastAsia="Times New Roman" w:cs="Arial"/>
    </w:rPr>
  </w:style>
  <w:style w:type="character" w:customStyle="1" w:styleId="ListLabel28">
    <w:name w:val="ListLabel 28"/>
    <w:rPr>
      <w:rFonts w:eastAsia="Times New Roman" w:cs="Times New Roman"/>
    </w:rPr>
  </w:style>
  <w:style w:type="character" w:customStyle="1" w:styleId="ListLabel29">
    <w:name w:val="ListLabel 29"/>
    <w:rPr>
      <w:rFonts w:cs="Symbol"/>
      <w:sz w:val="24"/>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1">
    <w:name w:val="Default Text:1"/>
    <w:basedOn w:val="Normal"/>
    <w:rsid w:val="007705A2"/>
    <w:pPr>
      <w:textAlignment w:val="baseline"/>
    </w:pPr>
    <w:rPr>
      <w:szCs w:val="20"/>
    </w:rPr>
  </w:style>
  <w:style w:type="paragraph" w:styleId="BalloonText">
    <w:name w:val="Balloon Text"/>
    <w:basedOn w:val="Normal"/>
    <w:semiHidden/>
    <w:rsid w:val="002E33D6"/>
    <w:rPr>
      <w:rFonts w:ascii="Tahoma" w:hAnsi="Tahoma" w:cs="Tahoma"/>
      <w:sz w:val="16"/>
      <w:szCs w:val="16"/>
    </w:rPr>
  </w:style>
  <w:style w:type="paragraph" w:styleId="Footer">
    <w:name w:val="footer"/>
    <w:basedOn w:val="Normal"/>
    <w:link w:val="FooterChar"/>
    <w:uiPriority w:val="99"/>
    <w:rsid w:val="00684927"/>
    <w:pPr>
      <w:tabs>
        <w:tab w:val="center" w:pos="4320"/>
        <w:tab w:val="right" w:pos="8640"/>
      </w:tabs>
    </w:pPr>
    <w:rPr>
      <w:lang w:val="x-none"/>
    </w:rPr>
  </w:style>
  <w:style w:type="paragraph" w:customStyle="1" w:styleId="CaracterCaracter5">
    <w:name w:val="Caracter Caracter5"/>
    <w:basedOn w:val="Normal"/>
    <w:rsid w:val="00C65CB1"/>
    <w:rPr>
      <w:lang w:val="pl-PL" w:eastAsia="pl-PL"/>
    </w:rPr>
  </w:style>
  <w:style w:type="paragraph" w:styleId="CommentText">
    <w:name w:val="annotation text"/>
    <w:basedOn w:val="Normal"/>
    <w:link w:val="CommentTextChar"/>
    <w:rsid w:val="0076558E"/>
    <w:rPr>
      <w:sz w:val="20"/>
      <w:szCs w:val="20"/>
      <w:lang w:eastAsia="x-none"/>
    </w:rPr>
  </w:style>
  <w:style w:type="paragraph" w:styleId="CommentSubject">
    <w:name w:val="annotation subject"/>
    <w:basedOn w:val="CommentText"/>
    <w:link w:val="CommentSubjectChar"/>
    <w:rsid w:val="0076558E"/>
    <w:rPr>
      <w:b/>
      <w:bCs/>
    </w:rPr>
  </w:style>
  <w:style w:type="paragraph" w:styleId="Header">
    <w:name w:val="header"/>
    <w:basedOn w:val="Normal"/>
    <w:link w:val="HeaderChar"/>
    <w:rsid w:val="002C33BB"/>
    <w:pPr>
      <w:tabs>
        <w:tab w:val="center" w:pos="4536"/>
        <w:tab w:val="right" w:pos="9072"/>
      </w:tabs>
    </w:pPr>
    <w:rPr>
      <w:lang w:val="x-none"/>
    </w:rPr>
  </w:style>
  <w:style w:type="paragraph" w:styleId="ListParagraph">
    <w:name w:val="List Paragraph"/>
    <w:basedOn w:val="Normal"/>
    <w:qFormat/>
    <w:rsid w:val="00E91E53"/>
    <w:pPr>
      <w:ind w:left="720"/>
      <w:contextualSpacing/>
    </w:pPr>
  </w:style>
  <w:style w:type="paragraph" w:styleId="NormalWeb">
    <w:name w:val="Normal (Web)"/>
    <w:basedOn w:val="Normal"/>
    <w:unhideWhenUsed/>
    <w:qFormat/>
    <w:rsid w:val="00DA0E3D"/>
    <w:pPr>
      <w:spacing w:after="142"/>
    </w:pPr>
    <w:rPr>
      <w:lang w:eastAsia="ro-RO"/>
    </w:rPr>
  </w:style>
  <w:style w:type="paragraph" w:customStyle="1" w:styleId="FrameContents">
    <w:name w:val="Frame Contents"/>
    <w:basedOn w:val="Normal"/>
  </w:style>
  <w:style w:type="paragraph" w:styleId="FootnoteText">
    <w:name w:val="footnote text"/>
    <w:basedOn w:val="Normal"/>
    <w:link w:val="FootnoteTextChar"/>
    <w:rsid w:val="001624DD"/>
    <w:rPr>
      <w:sz w:val="20"/>
      <w:szCs w:val="20"/>
    </w:rPr>
  </w:style>
  <w:style w:type="paragraph" w:customStyle="1" w:styleId="DefaultText">
    <w:name w:val="Default Text"/>
    <w:basedOn w:val="Normal"/>
    <w:qFormat/>
    <w:rsid w:val="0099600F"/>
    <w:rPr>
      <w:lang w:val="en-US" w:eastAsia="zh-CN"/>
    </w:rPr>
  </w:style>
  <w:style w:type="paragraph" w:customStyle="1" w:styleId="Footnote">
    <w:name w:val="Footnote"/>
    <w:basedOn w:val="Normal"/>
  </w:style>
  <w:style w:type="table" w:styleId="TableGrid">
    <w:name w:val="Table Grid"/>
    <w:basedOn w:val="TableNormal"/>
    <w:rsid w:val="00BE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5B94-B143-4C0F-B96F-5DABD612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ORDONANŢĂ DE URGENŢĂ   Nr</vt:lpstr>
    </vt:vector>
  </TitlesOfParts>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creator>Eduard</dc:creator>
  <cp:lastModifiedBy>sergiu cone</cp:lastModifiedBy>
  <cp:revision>2</cp:revision>
  <cp:lastPrinted>2018-05-18T16:19:00Z</cp:lastPrinted>
  <dcterms:created xsi:type="dcterms:W3CDTF">2018-05-21T06:09:00Z</dcterms:created>
  <dcterms:modified xsi:type="dcterms:W3CDTF">2018-05-21T06:09:00Z</dcterms:modified>
  <dc:language>ro-RO</dc:language>
</cp:coreProperties>
</file>